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7E7" w:rsidRPr="00AB7E1B" w:rsidRDefault="00303435" w:rsidP="005447E7">
      <w:pPr>
        <w:ind w:left="1560" w:right="1134"/>
        <w:jc w:val="both"/>
        <w:rPr>
          <w:rFonts w:ascii="Tahoma" w:hAnsi="Tahoma" w:cs="Tahoma"/>
          <w:i/>
          <w:sz w:val="20"/>
          <w:szCs w:val="20"/>
        </w:rPr>
      </w:pPr>
      <w:r w:rsidRPr="00AB7E1B">
        <w:rPr>
          <w:rFonts w:ascii="Tahoma" w:hAnsi="Tahoma" w:cs="Tahoma"/>
          <w:b/>
          <w:i/>
          <w:sz w:val="20"/>
          <w:szCs w:val="20"/>
        </w:rPr>
        <w:t>Sumilla:</w:t>
      </w:r>
      <w:r w:rsidRPr="00AB7E1B">
        <w:rPr>
          <w:rFonts w:ascii="Tahoma" w:hAnsi="Tahoma" w:cs="Tahoma"/>
          <w:i/>
          <w:sz w:val="20"/>
          <w:szCs w:val="20"/>
        </w:rPr>
        <w:t xml:space="preserve"> </w:t>
      </w:r>
      <w:r w:rsidR="005447E7" w:rsidRPr="00AB7E1B">
        <w:rPr>
          <w:rFonts w:ascii="Tahoma" w:hAnsi="Tahoma" w:cs="Tahoma"/>
          <w:i/>
          <w:sz w:val="20"/>
          <w:szCs w:val="20"/>
        </w:rPr>
        <w:t>“Es pasible de sanción el contratista que incumple injustificadamente el contrato pese a haber sido requerido previamente para que ejecute las prestaciones a su cargo.”</w:t>
      </w:r>
    </w:p>
    <w:p w:rsidR="00303435" w:rsidRPr="00AB7E1B" w:rsidRDefault="00303435" w:rsidP="00303435">
      <w:pPr>
        <w:ind w:left="1985" w:right="1274"/>
        <w:jc w:val="both"/>
        <w:rPr>
          <w:rFonts w:ascii="Tahoma" w:hAnsi="Tahoma" w:cs="Tahoma"/>
          <w:i/>
          <w:sz w:val="20"/>
          <w:szCs w:val="20"/>
        </w:rPr>
      </w:pPr>
    </w:p>
    <w:p w:rsidR="00303435" w:rsidRPr="00AB7E1B" w:rsidRDefault="00303435" w:rsidP="00303435">
      <w:pPr>
        <w:ind w:left="1843" w:right="1558"/>
        <w:jc w:val="both"/>
        <w:rPr>
          <w:rFonts w:ascii="Tahoma" w:hAnsi="Tahoma" w:cs="Tahoma"/>
          <w:i/>
          <w:sz w:val="20"/>
          <w:szCs w:val="20"/>
        </w:rPr>
      </w:pPr>
    </w:p>
    <w:p w:rsidR="00303435" w:rsidRPr="00AB7E1B" w:rsidRDefault="00303435" w:rsidP="00303435">
      <w:pPr>
        <w:ind w:left="2268" w:right="1274"/>
        <w:jc w:val="both"/>
        <w:rPr>
          <w:rFonts w:ascii="Tahoma" w:hAnsi="Tahoma" w:cs="Tahoma"/>
          <w:i/>
          <w:sz w:val="20"/>
          <w:szCs w:val="20"/>
        </w:rPr>
      </w:pPr>
    </w:p>
    <w:p w:rsidR="00303435" w:rsidRPr="00AB7E1B" w:rsidRDefault="00303435" w:rsidP="00303435">
      <w:pPr>
        <w:pStyle w:val="Textoindependiente3"/>
        <w:spacing w:after="0"/>
        <w:ind w:left="5387"/>
        <w:jc w:val="both"/>
        <w:rPr>
          <w:rFonts w:ascii="Tahoma" w:hAnsi="Tahoma" w:cs="Tahoma"/>
          <w:b/>
          <w:sz w:val="20"/>
          <w:szCs w:val="20"/>
        </w:rPr>
      </w:pPr>
      <w:r w:rsidRPr="00AB7E1B">
        <w:rPr>
          <w:rFonts w:ascii="Tahoma" w:hAnsi="Tahoma" w:cs="Tahoma"/>
          <w:b/>
          <w:sz w:val="20"/>
          <w:szCs w:val="20"/>
        </w:rPr>
        <w:t>Lima,</w:t>
      </w:r>
      <w:r w:rsidR="008B1975">
        <w:rPr>
          <w:rFonts w:ascii="Tahoma" w:hAnsi="Tahoma" w:cs="Tahoma"/>
          <w:b/>
          <w:sz w:val="20"/>
          <w:szCs w:val="20"/>
        </w:rPr>
        <w:t xml:space="preserve"> 14 de Junio de 2011</w:t>
      </w:r>
    </w:p>
    <w:p w:rsidR="00303435" w:rsidRPr="00AB7E1B" w:rsidRDefault="00303435" w:rsidP="00303435">
      <w:pPr>
        <w:pStyle w:val="Textoindependiente3"/>
        <w:spacing w:after="0"/>
        <w:ind w:left="5387"/>
        <w:jc w:val="both"/>
        <w:rPr>
          <w:rFonts w:ascii="Tahoma" w:hAnsi="Tahoma" w:cs="Tahoma"/>
          <w:b/>
          <w:sz w:val="20"/>
          <w:szCs w:val="20"/>
        </w:rPr>
      </w:pPr>
    </w:p>
    <w:p w:rsidR="00303435" w:rsidRPr="00AB7E1B" w:rsidRDefault="00303435" w:rsidP="00303435">
      <w:pPr>
        <w:pStyle w:val="Prrafodelista"/>
        <w:widowControl/>
        <w:suppressAutoHyphens w:val="0"/>
        <w:ind w:left="567"/>
        <w:contextualSpacing/>
        <w:jc w:val="both"/>
        <w:rPr>
          <w:rFonts w:ascii="Tahoma" w:hAnsi="Tahoma" w:cs="Tahoma"/>
          <w:sz w:val="20"/>
        </w:rPr>
      </w:pPr>
      <w:r w:rsidRPr="00AB7E1B">
        <w:rPr>
          <w:rFonts w:ascii="Tahoma" w:hAnsi="Tahoma" w:cs="Tahoma"/>
          <w:b/>
          <w:sz w:val="20"/>
        </w:rPr>
        <w:t xml:space="preserve">Visto </w:t>
      </w:r>
      <w:r w:rsidRPr="00AB7E1B">
        <w:rPr>
          <w:rFonts w:ascii="Tahoma" w:hAnsi="Tahoma" w:cs="Tahoma"/>
          <w:sz w:val="20"/>
        </w:rPr>
        <w:t>en sesión de fecha 13 de junio de 2011 la Primera Sala del Tribunal de Contrataciones del Estado el Expediente N° 1717-2010-TC; sobre el procedimiento administrativo sancionador iniciado contra la empresa J MAMB EIRL</w:t>
      </w:r>
      <w:r w:rsidRPr="00AB7E1B">
        <w:rPr>
          <w:rFonts w:ascii="Tahoma" w:hAnsi="Tahoma" w:cs="Tahoma"/>
          <w:color w:val="000000" w:themeColor="text1"/>
          <w:sz w:val="20"/>
          <w:lang w:val="es-MX"/>
        </w:rPr>
        <w:t xml:space="preserve"> por su responsabilidad al dar lugar a la resolución del </w:t>
      </w:r>
      <w:r w:rsidRPr="00AB7E1B">
        <w:rPr>
          <w:rFonts w:ascii="Tahoma" w:hAnsi="Tahoma" w:cs="Tahoma"/>
          <w:sz w:val="20"/>
        </w:rPr>
        <w:t>Contrato Nº 006-2010-EP/UO 0834</w:t>
      </w:r>
      <w:r w:rsidR="00472DC1">
        <w:rPr>
          <w:rFonts w:ascii="Tahoma" w:hAnsi="Tahoma" w:cs="Tahoma"/>
          <w:sz w:val="20"/>
        </w:rPr>
        <w:t>ABSTO/OEC</w:t>
      </w:r>
      <w:r w:rsidRPr="00AB7E1B">
        <w:rPr>
          <w:rFonts w:ascii="Tahoma" w:hAnsi="Tahoma" w:cs="Tahoma"/>
          <w:sz w:val="20"/>
        </w:rPr>
        <w:t>, para “el suministro de arroz superior pilado” en virtud al pro</w:t>
      </w:r>
      <w:r w:rsidR="00472DC1">
        <w:rPr>
          <w:rFonts w:ascii="Tahoma" w:hAnsi="Tahoma" w:cs="Tahoma"/>
          <w:sz w:val="20"/>
        </w:rPr>
        <w:t>ceso de Licitación Pública por Subasta Inversa P</w:t>
      </w:r>
      <w:r w:rsidRPr="00AB7E1B">
        <w:rPr>
          <w:rFonts w:ascii="Tahoma" w:hAnsi="Tahoma" w:cs="Tahoma"/>
          <w:sz w:val="20"/>
        </w:rPr>
        <w:t>resencial Nº 001-2010-EP/UO 0834</w:t>
      </w:r>
      <w:r w:rsidR="00472DC1">
        <w:rPr>
          <w:rFonts w:ascii="Tahoma" w:hAnsi="Tahoma" w:cs="Tahoma"/>
          <w:sz w:val="20"/>
        </w:rPr>
        <w:t>, ítem Nº 1-Primera Convocatoria</w:t>
      </w:r>
      <w:r w:rsidRPr="00AB7E1B">
        <w:rPr>
          <w:rFonts w:ascii="Tahoma" w:hAnsi="Tahoma" w:cs="Tahoma"/>
          <w:sz w:val="20"/>
        </w:rPr>
        <w:t>.</w:t>
      </w:r>
    </w:p>
    <w:p w:rsidR="00303435" w:rsidRPr="00AB7E1B" w:rsidRDefault="00303435" w:rsidP="00303435">
      <w:pPr>
        <w:contextualSpacing/>
        <w:jc w:val="both"/>
        <w:rPr>
          <w:rFonts w:ascii="Tahoma" w:hAnsi="Tahoma" w:cs="Tahoma"/>
          <w:b/>
          <w:sz w:val="20"/>
          <w:szCs w:val="20"/>
          <w:lang w:val="es-ES_tradnl"/>
        </w:rPr>
      </w:pPr>
    </w:p>
    <w:p w:rsidR="00303435" w:rsidRPr="00AB7E1B" w:rsidRDefault="00303435" w:rsidP="00303435">
      <w:pPr>
        <w:pStyle w:val="Prrafodelista"/>
        <w:ind w:left="567"/>
        <w:rPr>
          <w:rFonts w:ascii="Tahoma" w:hAnsi="Tahoma" w:cs="Tahoma"/>
          <w:b/>
          <w:sz w:val="20"/>
        </w:rPr>
      </w:pPr>
      <w:r w:rsidRPr="00AB7E1B">
        <w:rPr>
          <w:rFonts w:ascii="Tahoma" w:hAnsi="Tahoma" w:cs="Tahoma"/>
          <w:b/>
          <w:sz w:val="20"/>
        </w:rPr>
        <w:t>ANTECEDENTES:</w:t>
      </w:r>
    </w:p>
    <w:p w:rsidR="00303435" w:rsidRPr="00AB7E1B" w:rsidRDefault="00303435" w:rsidP="00303435">
      <w:pPr>
        <w:jc w:val="both"/>
        <w:rPr>
          <w:rFonts w:ascii="Tahoma" w:hAnsi="Tahoma" w:cs="Tahoma"/>
          <w:b/>
          <w:sz w:val="20"/>
          <w:szCs w:val="20"/>
          <w:lang w:eastAsia="es-PE"/>
        </w:rPr>
      </w:pPr>
    </w:p>
    <w:p w:rsidR="00303435" w:rsidRDefault="00303435" w:rsidP="00303435">
      <w:pPr>
        <w:pStyle w:val="Prrafodelista"/>
        <w:widowControl/>
        <w:numPr>
          <w:ilvl w:val="0"/>
          <w:numId w:val="1"/>
        </w:numPr>
        <w:suppressAutoHyphens w:val="0"/>
        <w:ind w:left="567" w:hanging="567"/>
        <w:contextualSpacing/>
        <w:jc w:val="both"/>
        <w:rPr>
          <w:rFonts w:ascii="Tahoma" w:hAnsi="Tahoma" w:cs="Tahoma"/>
          <w:sz w:val="20"/>
        </w:rPr>
      </w:pPr>
      <w:r w:rsidRPr="00163715">
        <w:rPr>
          <w:rFonts w:ascii="Tahoma" w:hAnsi="Tahoma" w:cs="Tahoma"/>
          <w:sz w:val="20"/>
        </w:rPr>
        <w:t xml:space="preserve">El 04 de mayo de 2010, el Ejercito del Perú, en los sucesivo, la Entidad, suscribió con la empresa J MAMB EIRL, en adelante, la Contratista, el Contrato Nº </w:t>
      </w:r>
      <w:r w:rsidR="00472DC1" w:rsidRPr="00163715">
        <w:rPr>
          <w:rFonts w:ascii="Tahoma" w:hAnsi="Tahoma" w:cs="Tahoma"/>
          <w:sz w:val="20"/>
        </w:rPr>
        <w:t>006-2010-EP/UO 0834ABSTO/OEC</w:t>
      </w:r>
      <w:r w:rsidRPr="00163715">
        <w:rPr>
          <w:rFonts w:ascii="Tahoma" w:hAnsi="Tahoma" w:cs="Tahoma"/>
          <w:sz w:val="20"/>
        </w:rPr>
        <w:t xml:space="preserve">, para “el suministro de arroz superior pilado” en virtud al proceso de Licitación Pública por </w:t>
      </w:r>
      <w:r w:rsidR="00163715">
        <w:rPr>
          <w:rFonts w:ascii="Tahoma" w:hAnsi="Tahoma" w:cs="Tahoma"/>
          <w:sz w:val="20"/>
        </w:rPr>
        <w:t>Subasta Inversa P</w:t>
      </w:r>
      <w:r w:rsidR="00163715" w:rsidRPr="00AB7E1B">
        <w:rPr>
          <w:rFonts w:ascii="Tahoma" w:hAnsi="Tahoma" w:cs="Tahoma"/>
          <w:sz w:val="20"/>
        </w:rPr>
        <w:t>resencial Nº 001-2010-EP/UO 0834</w:t>
      </w:r>
      <w:r w:rsidR="00163715">
        <w:rPr>
          <w:rFonts w:ascii="Tahoma" w:hAnsi="Tahoma" w:cs="Tahoma"/>
          <w:sz w:val="20"/>
        </w:rPr>
        <w:t>, ítem Nº 1-Primera Convocatoria.</w:t>
      </w:r>
    </w:p>
    <w:p w:rsidR="00163715" w:rsidRPr="00163715" w:rsidRDefault="00163715" w:rsidP="00163715">
      <w:pPr>
        <w:pStyle w:val="Prrafodelista"/>
        <w:widowControl/>
        <w:suppressAutoHyphens w:val="0"/>
        <w:ind w:left="567"/>
        <w:contextualSpacing/>
        <w:jc w:val="both"/>
        <w:rPr>
          <w:rFonts w:ascii="Tahoma" w:hAnsi="Tahoma" w:cs="Tahoma"/>
          <w:sz w:val="20"/>
        </w:rPr>
      </w:pPr>
    </w:p>
    <w:p w:rsidR="00303435" w:rsidRPr="00AB7E1B" w:rsidRDefault="00303435" w:rsidP="00303435">
      <w:pPr>
        <w:pStyle w:val="Prrafodelista"/>
        <w:widowControl/>
        <w:numPr>
          <w:ilvl w:val="0"/>
          <w:numId w:val="1"/>
        </w:numPr>
        <w:suppressAutoHyphens w:val="0"/>
        <w:ind w:left="567" w:hanging="567"/>
        <w:contextualSpacing/>
        <w:jc w:val="both"/>
        <w:rPr>
          <w:rFonts w:ascii="Tahoma" w:hAnsi="Tahoma" w:cs="Tahoma"/>
          <w:sz w:val="20"/>
        </w:rPr>
      </w:pPr>
      <w:r w:rsidRPr="00AB7E1B">
        <w:rPr>
          <w:rFonts w:ascii="Tahoma" w:hAnsi="Tahoma" w:cs="Tahoma"/>
          <w:sz w:val="20"/>
        </w:rPr>
        <w:t>Mediante Carta Notarial Nº 22/2010 31º Brig. Inf. OEC de fecha 20 de octubre de 2010, la Entidad solicita a la Contratista el internamiento de los bienes correspondientes al mes de setiembre, referidos en la orden de compra Nº 511 y 515, otorgándole un plazo de cinco días a fin de cumplir con lo requerido.</w:t>
      </w:r>
    </w:p>
    <w:p w:rsidR="00303435" w:rsidRPr="00AB7E1B" w:rsidRDefault="00303435" w:rsidP="00303435">
      <w:pPr>
        <w:pStyle w:val="Prrafodelista"/>
        <w:rPr>
          <w:rFonts w:ascii="Tahoma" w:hAnsi="Tahoma" w:cs="Tahoma"/>
          <w:sz w:val="20"/>
        </w:rPr>
      </w:pPr>
    </w:p>
    <w:p w:rsidR="00303435" w:rsidRPr="00AB7E1B" w:rsidRDefault="00303435" w:rsidP="00303435">
      <w:pPr>
        <w:pStyle w:val="Prrafodelista"/>
        <w:widowControl/>
        <w:numPr>
          <w:ilvl w:val="0"/>
          <w:numId w:val="1"/>
        </w:numPr>
        <w:suppressAutoHyphens w:val="0"/>
        <w:ind w:left="567" w:hanging="567"/>
        <w:contextualSpacing/>
        <w:jc w:val="both"/>
        <w:rPr>
          <w:rFonts w:ascii="Tahoma" w:hAnsi="Tahoma" w:cs="Tahoma"/>
          <w:sz w:val="20"/>
        </w:rPr>
      </w:pPr>
      <w:r w:rsidRPr="00AB7E1B">
        <w:rPr>
          <w:rFonts w:ascii="Tahoma" w:hAnsi="Tahoma" w:cs="Tahoma"/>
          <w:sz w:val="20"/>
        </w:rPr>
        <w:t>Mediante Carta Notarial Nº 23/2010 31º Brig. Inf. OEC de fecha 03 de noviembre de 2010, la Entidad comunicó a la Contratista la resolución del contrato referido por incumplimiento de las obligaciones contractuales.</w:t>
      </w:r>
    </w:p>
    <w:p w:rsidR="00303435" w:rsidRPr="00AB7E1B" w:rsidRDefault="00303435" w:rsidP="00303435">
      <w:pPr>
        <w:contextualSpacing/>
        <w:jc w:val="both"/>
        <w:rPr>
          <w:rFonts w:ascii="Tahoma" w:hAnsi="Tahoma" w:cs="Tahoma"/>
          <w:sz w:val="20"/>
          <w:szCs w:val="20"/>
        </w:rPr>
      </w:pPr>
    </w:p>
    <w:p w:rsidR="00303435" w:rsidRPr="00AB7E1B" w:rsidRDefault="00303435" w:rsidP="00303435">
      <w:pPr>
        <w:pStyle w:val="Prrafodelista"/>
        <w:widowControl/>
        <w:numPr>
          <w:ilvl w:val="0"/>
          <w:numId w:val="1"/>
        </w:numPr>
        <w:suppressAutoHyphens w:val="0"/>
        <w:ind w:left="567" w:hanging="567"/>
        <w:contextualSpacing/>
        <w:jc w:val="both"/>
        <w:rPr>
          <w:rFonts w:ascii="Tahoma" w:hAnsi="Tahoma" w:cs="Tahoma"/>
          <w:sz w:val="20"/>
        </w:rPr>
      </w:pPr>
      <w:r w:rsidRPr="00AB7E1B">
        <w:rPr>
          <w:rFonts w:ascii="Tahoma" w:hAnsi="Tahoma" w:cs="Tahoma"/>
          <w:sz w:val="20"/>
        </w:rPr>
        <w:t>Al respecto, la Entidad adjunta a su escrito de comunicación una carta remitida por la Contratista dirigida a la Entidad, de fecha 18 de setiembre de 2010, a través del cual señala lo siguiente:</w:t>
      </w:r>
    </w:p>
    <w:p w:rsidR="00303435" w:rsidRPr="00AB7E1B" w:rsidRDefault="00303435" w:rsidP="00303435">
      <w:pPr>
        <w:pStyle w:val="Prrafodelista"/>
        <w:rPr>
          <w:rFonts w:ascii="Tahoma" w:hAnsi="Tahoma" w:cs="Tahoma"/>
          <w:sz w:val="20"/>
        </w:rPr>
      </w:pPr>
    </w:p>
    <w:p w:rsidR="00303435" w:rsidRPr="00AB7E1B" w:rsidRDefault="00303435" w:rsidP="00303435">
      <w:pPr>
        <w:pStyle w:val="Prrafodelista"/>
        <w:ind w:left="567"/>
        <w:contextualSpacing/>
        <w:jc w:val="both"/>
        <w:rPr>
          <w:rFonts w:ascii="Tahoma" w:hAnsi="Tahoma" w:cs="Tahoma"/>
          <w:i/>
          <w:sz w:val="20"/>
        </w:rPr>
      </w:pPr>
      <w:r w:rsidRPr="00AB7E1B">
        <w:rPr>
          <w:rFonts w:ascii="Tahoma" w:hAnsi="Tahoma" w:cs="Tahoma"/>
          <w:i/>
          <w:sz w:val="20"/>
        </w:rPr>
        <w:t>“(…) paso a hacer mi descargo con respecto al incumplimiento del internamiento del arroz; este internamiento no se pudo realizar hasta el límite del 31 de agosto, en razón al alza que se produjo en el precio del arroz en esas fechas, lo cual imposibilitó a mi representada su adquisición para su posterior entrega a su Entidad. Del mismo modo, como es de su conocimiento que mi empresa J.Mamb EIRL ganó el proceso de arroz en S/. 1.4678, precio que actualmente representa un perjuicio para mi representada, sin embargo, estamos cumpliendo, por lo que solicito tenga en consideración por tratarse de primera vez, caso que me comprometo no se vuelva a repetir”</w:t>
      </w:r>
    </w:p>
    <w:p w:rsidR="00303435" w:rsidRPr="00AB7E1B" w:rsidRDefault="00303435" w:rsidP="00303435">
      <w:pPr>
        <w:pStyle w:val="Prrafodelista"/>
        <w:ind w:left="567"/>
        <w:contextualSpacing/>
        <w:jc w:val="both"/>
        <w:rPr>
          <w:rFonts w:ascii="Tahoma" w:hAnsi="Tahoma" w:cs="Tahoma"/>
          <w:sz w:val="20"/>
        </w:rPr>
      </w:pPr>
    </w:p>
    <w:p w:rsidR="00303435" w:rsidRPr="00AB7E1B" w:rsidRDefault="00303435" w:rsidP="00303435">
      <w:pPr>
        <w:pStyle w:val="Prrafodelista"/>
        <w:widowControl/>
        <w:numPr>
          <w:ilvl w:val="0"/>
          <w:numId w:val="1"/>
        </w:numPr>
        <w:suppressAutoHyphens w:val="0"/>
        <w:ind w:left="567" w:hanging="567"/>
        <w:contextualSpacing/>
        <w:jc w:val="both"/>
        <w:rPr>
          <w:rFonts w:ascii="Tahoma" w:hAnsi="Tahoma" w:cs="Tahoma"/>
          <w:sz w:val="20"/>
        </w:rPr>
      </w:pPr>
      <w:r w:rsidRPr="00AB7E1B">
        <w:rPr>
          <w:rFonts w:ascii="Tahoma" w:hAnsi="Tahoma" w:cs="Tahoma"/>
          <w:sz w:val="20"/>
        </w:rPr>
        <w:t xml:space="preserve">Mediante decreto de fecha 09 de diciembre de 2010, la Secretaría del Tribunal inició procedimiento administrativo sancionador contra la empresa J.Mamb EIRL por su supuesta responsabilidad al haber dado lugar a la resolución del contrato derivado del proceso de Licitación Pública </w:t>
      </w:r>
      <w:r w:rsidR="00163715">
        <w:rPr>
          <w:rFonts w:ascii="Tahoma" w:hAnsi="Tahoma" w:cs="Tahoma"/>
          <w:sz w:val="20"/>
        </w:rPr>
        <w:t>por Subasta Inversa P</w:t>
      </w:r>
      <w:r w:rsidR="00163715" w:rsidRPr="00AB7E1B">
        <w:rPr>
          <w:rFonts w:ascii="Tahoma" w:hAnsi="Tahoma" w:cs="Tahoma"/>
          <w:sz w:val="20"/>
        </w:rPr>
        <w:t>resencial Nº 001-2010-EP/UO 0834</w:t>
      </w:r>
      <w:r w:rsidR="00163715">
        <w:rPr>
          <w:rFonts w:ascii="Tahoma" w:hAnsi="Tahoma" w:cs="Tahoma"/>
          <w:sz w:val="20"/>
        </w:rPr>
        <w:t xml:space="preserve">, </w:t>
      </w:r>
      <w:r w:rsidR="00163715">
        <w:rPr>
          <w:rFonts w:ascii="Tahoma" w:hAnsi="Tahoma" w:cs="Tahoma"/>
          <w:sz w:val="20"/>
        </w:rPr>
        <w:lastRenderedPageBreak/>
        <w:t>ítem Nº 1-Primera Convocatoria</w:t>
      </w:r>
      <w:r w:rsidRPr="00AB7E1B">
        <w:rPr>
          <w:rFonts w:ascii="Tahoma" w:hAnsi="Tahoma" w:cs="Tahoma"/>
          <w:sz w:val="20"/>
        </w:rPr>
        <w:t>, por lo que se notificó a la empresa J.Mamb EIRL para que en el plazo de diez (10) días cumpla con presentar sus descargos.</w:t>
      </w:r>
    </w:p>
    <w:p w:rsidR="00303435" w:rsidRPr="00AB7E1B" w:rsidRDefault="00303435" w:rsidP="00303435">
      <w:pPr>
        <w:pStyle w:val="Prrafodelista"/>
        <w:ind w:left="567"/>
        <w:contextualSpacing/>
        <w:jc w:val="both"/>
        <w:rPr>
          <w:rFonts w:ascii="Tahoma" w:hAnsi="Tahoma" w:cs="Tahoma"/>
          <w:sz w:val="20"/>
        </w:rPr>
      </w:pPr>
    </w:p>
    <w:p w:rsidR="00303435" w:rsidRPr="00AB7E1B" w:rsidRDefault="00303435" w:rsidP="00303435">
      <w:pPr>
        <w:pStyle w:val="Prrafodelista"/>
        <w:widowControl/>
        <w:numPr>
          <w:ilvl w:val="0"/>
          <w:numId w:val="1"/>
        </w:numPr>
        <w:suppressAutoHyphens w:val="0"/>
        <w:ind w:left="567" w:hanging="567"/>
        <w:contextualSpacing/>
        <w:jc w:val="both"/>
        <w:rPr>
          <w:rFonts w:ascii="Tahoma" w:hAnsi="Tahoma" w:cs="Tahoma"/>
          <w:sz w:val="20"/>
        </w:rPr>
      </w:pPr>
      <w:r w:rsidRPr="00AB7E1B">
        <w:rPr>
          <w:rFonts w:ascii="Tahoma" w:hAnsi="Tahoma" w:cs="Tahoma"/>
          <w:sz w:val="20"/>
        </w:rPr>
        <w:t>El 04 de febrero de 2011, mediante escrito S/N, la Contratista presentó sus descargos a este Tribunal indicando que no pudo seguir cumpliendo con las obligaciones contraídas con la Entidad considerando que el precio del arroz que había ofertado a S/.1.46 el kilo incrementó considerablemente en el mercado, por lo que solo pudo cumplir con el internamiento del bien hasta el mes de agosto, teniendo en cuenta que no podía asumir una perdida que superaba el 20% de su patrimonio; situación que fue de conocimiento de la Entidad.</w:t>
      </w:r>
    </w:p>
    <w:p w:rsidR="00303435" w:rsidRPr="00AB7E1B" w:rsidRDefault="00303435" w:rsidP="00303435">
      <w:pPr>
        <w:pStyle w:val="Prrafodelista"/>
        <w:rPr>
          <w:rFonts w:ascii="Tahoma" w:hAnsi="Tahoma" w:cs="Tahoma"/>
          <w:sz w:val="20"/>
        </w:rPr>
      </w:pPr>
    </w:p>
    <w:p w:rsidR="00303435" w:rsidRPr="00AB7E1B" w:rsidRDefault="00303435" w:rsidP="00303435">
      <w:pPr>
        <w:pStyle w:val="Prrafodelista"/>
        <w:ind w:left="567"/>
        <w:contextualSpacing/>
        <w:jc w:val="both"/>
        <w:rPr>
          <w:rFonts w:ascii="Tahoma" w:hAnsi="Tahoma" w:cs="Tahoma"/>
          <w:sz w:val="20"/>
        </w:rPr>
      </w:pPr>
      <w:r w:rsidRPr="00AB7E1B">
        <w:rPr>
          <w:rFonts w:ascii="Tahoma" w:hAnsi="Tahoma" w:cs="Tahoma"/>
          <w:sz w:val="20"/>
        </w:rPr>
        <w:t>En ese sentido, manifiesta que no es causa atribuible a su representada el incumplimiento producido y que conllevó a la resolución del contrato, sino a una situación que escapa a la voluntad y responsabilidad de la empresa.</w:t>
      </w:r>
    </w:p>
    <w:p w:rsidR="00303435" w:rsidRPr="00AB7E1B" w:rsidRDefault="00303435" w:rsidP="00303435">
      <w:pPr>
        <w:pStyle w:val="Prrafodelista"/>
        <w:rPr>
          <w:rFonts w:ascii="Tahoma" w:hAnsi="Tahoma" w:cs="Tahoma"/>
          <w:sz w:val="20"/>
        </w:rPr>
      </w:pPr>
    </w:p>
    <w:p w:rsidR="00303435" w:rsidRPr="00AB7E1B" w:rsidRDefault="00303435" w:rsidP="00303435">
      <w:pPr>
        <w:pStyle w:val="Prrafodelista"/>
        <w:widowControl/>
        <w:numPr>
          <w:ilvl w:val="0"/>
          <w:numId w:val="1"/>
        </w:numPr>
        <w:suppressAutoHyphens w:val="0"/>
        <w:ind w:left="567" w:hanging="567"/>
        <w:contextualSpacing/>
        <w:jc w:val="both"/>
        <w:rPr>
          <w:rFonts w:ascii="Tahoma" w:hAnsi="Tahoma" w:cs="Tahoma"/>
          <w:sz w:val="20"/>
        </w:rPr>
      </w:pPr>
      <w:r w:rsidRPr="00AB7E1B">
        <w:rPr>
          <w:rFonts w:ascii="Tahoma" w:hAnsi="Tahoma" w:cs="Tahoma"/>
          <w:sz w:val="20"/>
        </w:rPr>
        <w:t>Mediante decreto del 08 de febrero de 2011, este Tribunal tuvo por apersonada a la empresa J. MAMB EIRL y se remitió el Expediente a la Primera Sala para que resuelva.</w:t>
      </w:r>
    </w:p>
    <w:p w:rsidR="00303435" w:rsidRPr="00AB7E1B" w:rsidRDefault="00303435" w:rsidP="00303435">
      <w:pPr>
        <w:pStyle w:val="Prrafodelista"/>
        <w:ind w:left="567"/>
        <w:contextualSpacing/>
        <w:jc w:val="both"/>
        <w:rPr>
          <w:rFonts w:ascii="Tahoma" w:hAnsi="Tahoma" w:cs="Tahoma"/>
          <w:sz w:val="20"/>
        </w:rPr>
      </w:pPr>
    </w:p>
    <w:p w:rsidR="00303435" w:rsidRPr="00AB7E1B" w:rsidRDefault="00303435" w:rsidP="00303435">
      <w:pPr>
        <w:pStyle w:val="Lista3"/>
        <w:numPr>
          <w:ilvl w:val="0"/>
          <w:numId w:val="1"/>
        </w:numPr>
        <w:spacing w:after="0" w:line="240" w:lineRule="auto"/>
        <w:ind w:left="567" w:hanging="567"/>
        <w:jc w:val="both"/>
        <w:rPr>
          <w:rFonts w:ascii="Tahoma" w:hAnsi="Tahoma" w:cs="Tahoma"/>
          <w:sz w:val="20"/>
          <w:szCs w:val="20"/>
        </w:rPr>
      </w:pPr>
      <w:r w:rsidRPr="00AB7E1B">
        <w:rPr>
          <w:rFonts w:ascii="Tahoma" w:hAnsi="Tahoma" w:cs="Tahoma"/>
          <w:sz w:val="20"/>
          <w:szCs w:val="20"/>
        </w:rPr>
        <w:t>Mediante decreto del 9 de mayo se solicitó información adicional al Instituto Nacional de Estadística e Informática-INEI señalando:</w:t>
      </w:r>
    </w:p>
    <w:p w:rsidR="00303435" w:rsidRPr="00AB7E1B" w:rsidRDefault="00303435" w:rsidP="00303435">
      <w:pPr>
        <w:pStyle w:val="Lista3"/>
        <w:spacing w:after="0" w:line="240" w:lineRule="auto"/>
        <w:ind w:left="567" w:firstLine="0"/>
        <w:jc w:val="both"/>
        <w:rPr>
          <w:rFonts w:ascii="Tahoma" w:hAnsi="Tahoma" w:cs="Tahoma"/>
          <w:sz w:val="20"/>
          <w:szCs w:val="20"/>
        </w:rPr>
      </w:pPr>
    </w:p>
    <w:p w:rsidR="00303435" w:rsidRPr="00AB7E1B" w:rsidRDefault="00303435" w:rsidP="00303435">
      <w:pPr>
        <w:pStyle w:val="Prrafodelista"/>
        <w:ind w:left="567"/>
        <w:jc w:val="both"/>
        <w:rPr>
          <w:rFonts w:ascii="Tahoma" w:hAnsi="Tahoma" w:cs="Tahoma"/>
          <w:i/>
          <w:sz w:val="20"/>
        </w:rPr>
      </w:pPr>
      <w:r w:rsidRPr="00AB7E1B">
        <w:rPr>
          <w:rFonts w:ascii="Tahoma" w:hAnsi="Tahoma" w:cs="Tahoma"/>
          <w:i/>
          <w:sz w:val="20"/>
        </w:rPr>
        <w:t>“A fin que la Primera Sala tenga mayores elementos de juicio al momento de resolver el presente procedimiento, se requiere lo siguiente:</w:t>
      </w:r>
    </w:p>
    <w:p w:rsidR="00303435" w:rsidRPr="00AB7E1B" w:rsidRDefault="00303435" w:rsidP="00303435">
      <w:pPr>
        <w:pStyle w:val="Prrafodelista"/>
        <w:ind w:left="360"/>
        <w:jc w:val="both"/>
        <w:rPr>
          <w:rFonts w:ascii="Tahoma" w:hAnsi="Tahoma" w:cs="Tahoma"/>
          <w:b/>
          <w:i/>
          <w:sz w:val="20"/>
          <w:lang w:val="es-PE"/>
        </w:rPr>
      </w:pPr>
    </w:p>
    <w:p w:rsidR="00303435" w:rsidRPr="00AB7E1B" w:rsidRDefault="00303435" w:rsidP="00303435">
      <w:pPr>
        <w:ind w:left="567"/>
        <w:jc w:val="both"/>
        <w:rPr>
          <w:rFonts w:ascii="Tahoma" w:hAnsi="Tahoma" w:cs="Tahoma"/>
          <w:b/>
          <w:i/>
          <w:sz w:val="20"/>
          <w:szCs w:val="20"/>
          <w:lang w:val="es-ES_tradnl"/>
        </w:rPr>
      </w:pPr>
      <w:r w:rsidRPr="00AB7E1B">
        <w:rPr>
          <w:rFonts w:ascii="Tahoma" w:hAnsi="Tahoma" w:cs="Tahoma"/>
          <w:b/>
          <w:i/>
          <w:sz w:val="20"/>
          <w:szCs w:val="20"/>
          <w:lang w:val="es-ES_tradnl"/>
        </w:rPr>
        <w:t>A LA DIRECCIÓN TÉCNICA DE INDICADORES ECONÓMICOS DEL INSTITUTO NACIONAL DE ESTADÍSTICAS E INFORMATICA</w:t>
      </w:r>
    </w:p>
    <w:p w:rsidR="00303435" w:rsidRPr="00AB7E1B" w:rsidRDefault="00303435" w:rsidP="00303435">
      <w:pPr>
        <w:pStyle w:val="Prrafodelista"/>
        <w:ind w:left="360"/>
        <w:jc w:val="both"/>
        <w:rPr>
          <w:rFonts w:ascii="Tahoma" w:hAnsi="Tahoma" w:cs="Tahoma"/>
          <w:b/>
          <w:i/>
          <w:sz w:val="20"/>
        </w:rPr>
      </w:pPr>
    </w:p>
    <w:p w:rsidR="00303435" w:rsidRPr="00AB7E1B" w:rsidRDefault="00303435" w:rsidP="00303435">
      <w:pPr>
        <w:pStyle w:val="Prrafodelista"/>
        <w:ind w:left="567"/>
        <w:jc w:val="both"/>
        <w:rPr>
          <w:rFonts w:ascii="Tahoma" w:hAnsi="Tahoma" w:cs="Tahoma"/>
          <w:i/>
          <w:sz w:val="20"/>
        </w:rPr>
      </w:pPr>
      <w:r w:rsidRPr="00AB7E1B">
        <w:rPr>
          <w:rFonts w:ascii="Tahoma" w:hAnsi="Tahoma" w:cs="Tahoma"/>
          <w:i/>
          <w:sz w:val="20"/>
        </w:rPr>
        <w:t xml:space="preserve">Sírvase presentar el Índice mensual del Precios Promedio por kilo del articulo </w:t>
      </w:r>
      <w:r w:rsidRPr="00AB7E1B">
        <w:rPr>
          <w:rFonts w:ascii="Tahoma" w:hAnsi="Tahoma" w:cs="Tahoma"/>
          <w:i/>
          <w:sz w:val="20"/>
          <w:u w:val="single"/>
        </w:rPr>
        <w:t xml:space="preserve">arroz superior pilado </w:t>
      </w:r>
      <w:r w:rsidRPr="00AB7E1B">
        <w:rPr>
          <w:rFonts w:ascii="Tahoma" w:hAnsi="Tahoma" w:cs="Tahoma"/>
          <w:i/>
          <w:sz w:val="20"/>
        </w:rPr>
        <w:t>(arroz superior, grano largo seleccionado, bien pilado, sin polvillos ni materias extrañas), que se habría producido en los meses de mayo, junio, julio, agosto setiembre y octubre del año 2010.</w:t>
      </w:r>
    </w:p>
    <w:p w:rsidR="00303435" w:rsidRPr="00AB7E1B" w:rsidRDefault="00303435" w:rsidP="00303435">
      <w:pPr>
        <w:pStyle w:val="Prrafodelista"/>
        <w:ind w:left="567"/>
        <w:jc w:val="both"/>
        <w:rPr>
          <w:rFonts w:ascii="Tahoma" w:hAnsi="Tahoma" w:cs="Tahoma"/>
          <w:i/>
          <w:sz w:val="20"/>
        </w:rPr>
      </w:pPr>
    </w:p>
    <w:p w:rsidR="006C1DEC" w:rsidRPr="00AB7E1B" w:rsidRDefault="00303435" w:rsidP="006C1DEC">
      <w:pPr>
        <w:pStyle w:val="Prrafodelista"/>
        <w:ind w:left="567"/>
        <w:jc w:val="both"/>
        <w:rPr>
          <w:rFonts w:ascii="Tahoma" w:hAnsi="Tahoma" w:cs="Tahoma"/>
          <w:i/>
          <w:sz w:val="20"/>
        </w:rPr>
      </w:pPr>
      <w:r w:rsidRPr="00AB7E1B">
        <w:rPr>
          <w:rFonts w:ascii="Tahoma" w:hAnsi="Tahoma" w:cs="Tahoma"/>
          <w:i/>
          <w:sz w:val="20"/>
        </w:rPr>
        <w:t>La información requerida deberá ser remitida en el plazo de tres (3) días, bajo responsabilidad y apercibimiento de resolver con la documentación que obra en autos.”</w:t>
      </w:r>
    </w:p>
    <w:p w:rsidR="006C1DEC" w:rsidRPr="00AB7E1B" w:rsidRDefault="006C1DEC" w:rsidP="006C1DEC">
      <w:pPr>
        <w:pStyle w:val="Prrafodelista"/>
        <w:ind w:left="567"/>
        <w:jc w:val="both"/>
        <w:rPr>
          <w:rFonts w:ascii="Tahoma" w:hAnsi="Tahoma" w:cs="Tahoma"/>
          <w:i/>
          <w:sz w:val="20"/>
        </w:rPr>
      </w:pPr>
    </w:p>
    <w:p w:rsidR="006C1DEC" w:rsidRPr="00AB7E1B" w:rsidRDefault="006C1DEC" w:rsidP="006C1DEC">
      <w:pPr>
        <w:pStyle w:val="Lista3"/>
        <w:numPr>
          <w:ilvl w:val="0"/>
          <w:numId w:val="1"/>
        </w:numPr>
        <w:spacing w:after="0" w:line="240" w:lineRule="auto"/>
        <w:ind w:left="567" w:hanging="567"/>
        <w:jc w:val="both"/>
        <w:rPr>
          <w:rFonts w:ascii="Tahoma" w:hAnsi="Tahoma" w:cs="Tahoma"/>
          <w:sz w:val="20"/>
          <w:szCs w:val="20"/>
          <w:lang w:val="es-ES_tradnl"/>
        </w:rPr>
      </w:pPr>
      <w:r w:rsidRPr="00AB7E1B">
        <w:rPr>
          <w:rFonts w:ascii="Tahoma" w:hAnsi="Tahoma" w:cs="Tahoma"/>
          <w:sz w:val="20"/>
          <w:szCs w:val="20"/>
          <w:lang w:val="es-ES_tradnl"/>
        </w:rPr>
        <w:t>Sobre el particular, el INEI mediante Oficio Nº 106-2011-INEI/DTIE remitió a este Tribunal la información solicitada señalando:</w:t>
      </w:r>
    </w:p>
    <w:p w:rsidR="006C1DEC" w:rsidRPr="00AB7E1B" w:rsidRDefault="006C1DEC" w:rsidP="006C1DEC">
      <w:pPr>
        <w:pStyle w:val="Lista3"/>
        <w:spacing w:after="0" w:line="240" w:lineRule="auto"/>
        <w:jc w:val="both"/>
        <w:rPr>
          <w:rFonts w:ascii="Tahoma" w:hAnsi="Tahoma" w:cs="Tahoma"/>
          <w:sz w:val="20"/>
          <w:szCs w:val="20"/>
          <w:lang w:val="es-ES_tradnl"/>
        </w:rPr>
      </w:pPr>
    </w:p>
    <w:p w:rsidR="006C1DEC" w:rsidRPr="00AB7E1B" w:rsidRDefault="006C1DEC" w:rsidP="006C1DEC">
      <w:pPr>
        <w:pStyle w:val="Lista3"/>
        <w:spacing w:after="0" w:line="240" w:lineRule="auto"/>
        <w:jc w:val="center"/>
        <w:rPr>
          <w:rFonts w:ascii="Tahoma" w:hAnsi="Tahoma" w:cs="Tahoma"/>
          <w:b/>
          <w:sz w:val="20"/>
          <w:szCs w:val="20"/>
          <w:lang w:val="es-ES_tradnl"/>
        </w:rPr>
      </w:pPr>
      <w:r w:rsidRPr="00AB7E1B">
        <w:rPr>
          <w:rFonts w:ascii="Tahoma" w:hAnsi="Tahoma" w:cs="Tahoma"/>
          <w:b/>
          <w:sz w:val="20"/>
          <w:szCs w:val="20"/>
          <w:lang w:val="es-ES_tradnl"/>
        </w:rPr>
        <w:t>PRECIO PROMEDIO MENSUAL DEL ARROZ SUPERIOR EN EL INDICE DE PRECIOS AL POR MAYOR</w:t>
      </w:r>
    </w:p>
    <w:p w:rsidR="006C1DEC" w:rsidRPr="00AB7E1B" w:rsidRDefault="006C1DEC" w:rsidP="006C1DEC">
      <w:pPr>
        <w:pStyle w:val="Lista3"/>
        <w:spacing w:after="0" w:line="240" w:lineRule="auto"/>
        <w:jc w:val="center"/>
        <w:rPr>
          <w:rFonts w:ascii="Tahoma" w:hAnsi="Tahoma" w:cs="Tahoma"/>
          <w:b/>
          <w:sz w:val="20"/>
          <w:szCs w:val="20"/>
          <w:lang w:val="es-ES_tradnl"/>
        </w:rPr>
      </w:pPr>
      <w:r w:rsidRPr="00AB7E1B">
        <w:rPr>
          <w:rFonts w:ascii="Tahoma" w:hAnsi="Tahoma" w:cs="Tahoma"/>
          <w:b/>
          <w:sz w:val="20"/>
          <w:szCs w:val="20"/>
          <w:lang w:val="es-ES_tradnl"/>
        </w:rPr>
        <w:t>PERIODO MAYO-OCTUBRE 2010</w:t>
      </w:r>
    </w:p>
    <w:p w:rsidR="006C1DEC" w:rsidRPr="00AB7E1B" w:rsidRDefault="006C1DEC" w:rsidP="006C1DEC">
      <w:pPr>
        <w:pStyle w:val="Lista3"/>
        <w:spacing w:after="0" w:line="240" w:lineRule="auto"/>
        <w:jc w:val="center"/>
        <w:rPr>
          <w:rFonts w:ascii="Tahoma" w:hAnsi="Tahoma" w:cs="Tahoma"/>
          <w:b/>
          <w:sz w:val="20"/>
          <w:szCs w:val="20"/>
          <w:lang w:val="es-ES_tradnl"/>
        </w:rPr>
      </w:pPr>
      <w:r w:rsidRPr="00AB7E1B">
        <w:rPr>
          <w:rFonts w:ascii="Tahoma" w:hAnsi="Tahoma" w:cs="Tahoma"/>
          <w:b/>
          <w:sz w:val="20"/>
          <w:szCs w:val="20"/>
          <w:lang w:val="es-ES_tradnl"/>
        </w:rPr>
        <w:t>(Nuevos Soles por bolsa de 12 kilogramos)</w:t>
      </w:r>
    </w:p>
    <w:tbl>
      <w:tblPr>
        <w:tblStyle w:val="Tablaconcuadrcula"/>
        <w:tblW w:w="0" w:type="auto"/>
        <w:tblInd w:w="2090" w:type="dxa"/>
        <w:tblLook w:val="04A0"/>
      </w:tblPr>
      <w:tblGrid>
        <w:gridCol w:w="2602"/>
        <w:gridCol w:w="2668"/>
      </w:tblGrid>
      <w:tr w:rsidR="006C1DEC" w:rsidRPr="00AB7E1B" w:rsidTr="00301F84">
        <w:tc>
          <w:tcPr>
            <w:tcW w:w="2602" w:type="dxa"/>
          </w:tcPr>
          <w:p w:rsidR="006C1DEC" w:rsidRPr="00AB7E1B" w:rsidRDefault="006C1DEC"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Mes</w:t>
            </w:r>
          </w:p>
        </w:tc>
        <w:tc>
          <w:tcPr>
            <w:tcW w:w="2668" w:type="dxa"/>
          </w:tcPr>
          <w:p w:rsidR="006C1DEC" w:rsidRPr="00AB7E1B" w:rsidRDefault="006C1DEC"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Arroz envasado superior por 12 kg</w:t>
            </w:r>
          </w:p>
        </w:tc>
      </w:tr>
      <w:tr w:rsidR="006C1DEC" w:rsidRPr="00AB7E1B" w:rsidTr="00301F84">
        <w:tc>
          <w:tcPr>
            <w:tcW w:w="2602" w:type="dxa"/>
          </w:tcPr>
          <w:p w:rsidR="006C1DEC" w:rsidRPr="00AB7E1B" w:rsidRDefault="006C1DEC"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Mayo</w:t>
            </w:r>
          </w:p>
        </w:tc>
        <w:tc>
          <w:tcPr>
            <w:tcW w:w="2668" w:type="dxa"/>
          </w:tcPr>
          <w:p w:rsidR="006C1DEC" w:rsidRPr="00AB7E1B" w:rsidRDefault="006C1DEC"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35.64</w:t>
            </w:r>
          </w:p>
        </w:tc>
      </w:tr>
      <w:tr w:rsidR="006C1DEC" w:rsidRPr="00AB7E1B" w:rsidTr="00301F84">
        <w:tc>
          <w:tcPr>
            <w:tcW w:w="2602" w:type="dxa"/>
          </w:tcPr>
          <w:p w:rsidR="006C1DEC" w:rsidRPr="00AB7E1B" w:rsidRDefault="006C1DEC"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Junio</w:t>
            </w:r>
          </w:p>
        </w:tc>
        <w:tc>
          <w:tcPr>
            <w:tcW w:w="2668" w:type="dxa"/>
          </w:tcPr>
          <w:p w:rsidR="006C1DEC" w:rsidRPr="00AB7E1B" w:rsidRDefault="006C1DEC"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34.97</w:t>
            </w:r>
          </w:p>
        </w:tc>
      </w:tr>
      <w:tr w:rsidR="006C1DEC" w:rsidRPr="00AB7E1B" w:rsidTr="00301F84">
        <w:tc>
          <w:tcPr>
            <w:tcW w:w="2602" w:type="dxa"/>
          </w:tcPr>
          <w:p w:rsidR="006C1DEC" w:rsidRPr="00AB7E1B" w:rsidRDefault="006C1DEC"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Julio</w:t>
            </w:r>
          </w:p>
        </w:tc>
        <w:tc>
          <w:tcPr>
            <w:tcW w:w="2668" w:type="dxa"/>
          </w:tcPr>
          <w:p w:rsidR="006C1DEC" w:rsidRPr="00AB7E1B" w:rsidRDefault="006C1DEC"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34.75</w:t>
            </w:r>
          </w:p>
        </w:tc>
      </w:tr>
      <w:tr w:rsidR="006C1DEC" w:rsidRPr="00AB7E1B" w:rsidTr="00301F84">
        <w:tc>
          <w:tcPr>
            <w:tcW w:w="2602" w:type="dxa"/>
          </w:tcPr>
          <w:p w:rsidR="006C1DEC" w:rsidRPr="00AB7E1B" w:rsidRDefault="006C1DEC"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Agosto</w:t>
            </w:r>
          </w:p>
        </w:tc>
        <w:tc>
          <w:tcPr>
            <w:tcW w:w="2668" w:type="dxa"/>
          </w:tcPr>
          <w:p w:rsidR="006C1DEC" w:rsidRPr="00AB7E1B" w:rsidRDefault="006C1DEC"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35.13</w:t>
            </w:r>
          </w:p>
        </w:tc>
      </w:tr>
      <w:tr w:rsidR="006C1DEC" w:rsidRPr="00AB7E1B" w:rsidTr="00301F84">
        <w:tc>
          <w:tcPr>
            <w:tcW w:w="2602" w:type="dxa"/>
          </w:tcPr>
          <w:p w:rsidR="006C1DEC" w:rsidRPr="00AB7E1B" w:rsidRDefault="006C1DEC"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Setiembre</w:t>
            </w:r>
          </w:p>
        </w:tc>
        <w:tc>
          <w:tcPr>
            <w:tcW w:w="2668" w:type="dxa"/>
          </w:tcPr>
          <w:p w:rsidR="006C1DEC" w:rsidRPr="00AB7E1B" w:rsidRDefault="006C1DEC"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35.26</w:t>
            </w:r>
          </w:p>
        </w:tc>
      </w:tr>
      <w:tr w:rsidR="006C1DEC" w:rsidRPr="00AB7E1B" w:rsidTr="00301F84">
        <w:tc>
          <w:tcPr>
            <w:tcW w:w="2602" w:type="dxa"/>
          </w:tcPr>
          <w:p w:rsidR="006C1DEC" w:rsidRPr="00AB7E1B" w:rsidRDefault="006C1DEC"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lastRenderedPageBreak/>
              <w:t>Octubre</w:t>
            </w:r>
          </w:p>
        </w:tc>
        <w:tc>
          <w:tcPr>
            <w:tcW w:w="2668" w:type="dxa"/>
          </w:tcPr>
          <w:p w:rsidR="006C1DEC" w:rsidRPr="00AB7E1B" w:rsidRDefault="006C1DEC"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35.30</w:t>
            </w:r>
          </w:p>
        </w:tc>
      </w:tr>
    </w:tbl>
    <w:p w:rsidR="006C1DEC" w:rsidRPr="00AB7E1B" w:rsidRDefault="006C1DEC" w:rsidP="006C1DEC">
      <w:pPr>
        <w:contextualSpacing/>
        <w:jc w:val="both"/>
        <w:rPr>
          <w:rFonts w:ascii="Tahoma" w:hAnsi="Tahoma" w:cs="Tahoma"/>
          <w:sz w:val="20"/>
          <w:szCs w:val="20"/>
        </w:rPr>
      </w:pPr>
    </w:p>
    <w:p w:rsidR="006C1DEC" w:rsidRPr="00AB7E1B" w:rsidRDefault="006C1DEC" w:rsidP="006C1DEC">
      <w:pPr>
        <w:pStyle w:val="Prrafodelista"/>
        <w:widowControl/>
        <w:numPr>
          <w:ilvl w:val="0"/>
          <w:numId w:val="1"/>
        </w:numPr>
        <w:suppressAutoHyphens w:val="0"/>
        <w:ind w:left="567" w:hanging="567"/>
        <w:contextualSpacing/>
        <w:jc w:val="both"/>
        <w:rPr>
          <w:rFonts w:ascii="Tahoma" w:hAnsi="Tahoma" w:cs="Tahoma"/>
          <w:sz w:val="20"/>
        </w:rPr>
      </w:pPr>
      <w:r w:rsidRPr="00AB7E1B">
        <w:rPr>
          <w:rFonts w:ascii="Tahoma" w:hAnsi="Tahoma" w:cs="Tahoma"/>
          <w:sz w:val="20"/>
        </w:rPr>
        <w:t>Mediante decreto de fecha 07 de junio de 2011, el Tribunal solicitó información adicional complementaria al Instituto Nacional de Estadística e Informática-INEI respecto del Índice mensual del Precios Promedio por kilo del articulo arroz superior pilado (arroz superior, grano largo seleccionado, bien pilado, sin polvillos ni materias extrañas), que se habría producido en los meses de enero a diciembre del año 2010.</w:t>
      </w:r>
    </w:p>
    <w:p w:rsidR="006C1DEC" w:rsidRPr="00AB7E1B" w:rsidRDefault="006C1DEC" w:rsidP="006C1DEC">
      <w:pPr>
        <w:pStyle w:val="Prrafodelista"/>
        <w:ind w:left="567"/>
        <w:contextualSpacing/>
        <w:jc w:val="both"/>
        <w:rPr>
          <w:rFonts w:ascii="Tahoma" w:hAnsi="Tahoma" w:cs="Tahoma"/>
          <w:sz w:val="20"/>
        </w:rPr>
      </w:pPr>
    </w:p>
    <w:p w:rsidR="006C1DEC" w:rsidRPr="00AB7E1B" w:rsidRDefault="006C1DEC" w:rsidP="006C1DEC">
      <w:pPr>
        <w:pStyle w:val="Prrafodelista"/>
        <w:widowControl/>
        <w:numPr>
          <w:ilvl w:val="0"/>
          <w:numId w:val="1"/>
        </w:numPr>
        <w:suppressAutoHyphens w:val="0"/>
        <w:ind w:left="567" w:hanging="567"/>
        <w:contextualSpacing/>
        <w:jc w:val="both"/>
        <w:rPr>
          <w:rFonts w:ascii="Tahoma" w:hAnsi="Tahoma" w:cs="Tahoma"/>
          <w:sz w:val="20"/>
        </w:rPr>
      </w:pPr>
      <w:r w:rsidRPr="00AB7E1B">
        <w:rPr>
          <w:rFonts w:ascii="Tahoma" w:hAnsi="Tahoma" w:cs="Tahoma"/>
          <w:sz w:val="20"/>
        </w:rPr>
        <w:t>El 09 de junio de 2011, el INEI mediante Oficio Nº 115-2011-INEI/DTIE, remitió la información adicional complementaria solicitada, a fin de conocer el precio promedio mensual de arroz superior desde el mes de enero hasta diciembre de 2010, indicando lo siguientes</w:t>
      </w:r>
      <w:r w:rsidR="00AB7E1B">
        <w:rPr>
          <w:rFonts w:ascii="Tahoma" w:hAnsi="Tahoma" w:cs="Tahoma"/>
          <w:sz w:val="20"/>
        </w:rPr>
        <w:t>:</w:t>
      </w:r>
    </w:p>
    <w:p w:rsidR="006C1DEC" w:rsidRPr="00AB7E1B" w:rsidRDefault="006C1DEC" w:rsidP="006C1DEC">
      <w:pPr>
        <w:contextualSpacing/>
        <w:jc w:val="both"/>
        <w:rPr>
          <w:rFonts w:ascii="Tahoma" w:hAnsi="Tahoma" w:cs="Tahoma"/>
          <w:sz w:val="20"/>
          <w:szCs w:val="20"/>
        </w:rPr>
      </w:pPr>
    </w:p>
    <w:tbl>
      <w:tblPr>
        <w:tblpPr w:leftFromText="141" w:rightFromText="141" w:vertAnchor="page" w:horzAnchor="margin" w:tblpXSpec="center" w:tblpY="6126"/>
        <w:tblW w:w="4529" w:type="dxa"/>
        <w:tblCellMar>
          <w:left w:w="70" w:type="dxa"/>
          <w:right w:w="70" w:type="dxa"/>
        </w:tblCellMar>
        <w:tblLook w:val="04A0"/>
      </w:tblPr>
      <w:tblGrid>
        <w:gridCol w:w="585"/>
        <w:gridCol w:w="1164"/>
        <w:gridCol w:w="2780"/>
      </w:tblGrid>
      <w:tr w:rsidR="00AB7E1B" w:rsidRPr="00AB7E1B" w:rsidTr="00AB7E1B">
        <w:trPr>
          <w:trHeight w:val="294"/>
        </w:trPr>
        <w:tc>
          <w:tcPr>
            <w:tcW w:w="4529" w:type="dxa"/>
            <w:gridSpan w:val="3"/>
            <w:tcBorders>
              <w:top w:val="nil"/>
              <w:left w:val="nil"/>
              <w:bottom w:val="nil"/>
              <w:right w:val="nil"/>
            </w:tcBorders>
            <w:shd w:val="clear" w:color="000000" w:fill="FFFFFF"/>
            <w:noWrap/>
            <w:vAlign w:val="bottom"/>
            <w:hideMark/>
          </w:tcPr>
          <w:p w:rsidR="00AB7E1B" w:rsidRPr="00AB7E1B" w:rsidRDefault="00AB7E1B" w:rsidP="00AB7E1B">
            <w:pPr>
              <w:rPr>
                <w:rFonts w:ascii="Arial" w:hAnsi="Arial" w:cs="Arial"/>
                <w:b/>
                <w:bCs/>
                <w:sz w:val="20"/>
                <w:szCs w:val="20"/>
              </w:rPr>
            </w:pPr>
          </w:p>
          <w:p w:rsidR="00AB7E1B" w:rsidRPr="00AB7E1B" w:rsidRDefault="00AB7E1B" w:rsidP="00AB7E1B">
            <w:pPr>
              <w:jc w:val="center"/>
              <w:rPr>
                <w:rFonts w:ascii="Arial" w:hAnsi="Arial" w:cs="Arial"/>
                <w:b/>
                <w:bCs/>
                <w:sz w:val="20"/>
                <w:szCs w:val="20"/>
              </w:rPr>
            </w:pPr>
            <w:r w:rsidRPr="00AB7E1B">
              <w:rPr>
                <w:rFonts w:ascii="Arial" w:hAnsi="Arial" w:cs="Arial"/>
                <w:b/>
                <w:bCs/>
                <w:sz w:val="20"/>
                <w:szCs w:val="20"/>
              </w:rPr>
              <w:t>PRECIO PROMEDIO MENSUAL DEL ARROZ SUPERIOR</w:t>
            </w:r>
          </w:p>
        </w:tc>
      </w:tr>
      <w:tr w:rsidR="00AB7E1B" w:rsidRPr="00AB7E1B" w:rsidTr="00AB7E1B">
        <w:trPr>
          <w:trHeight w:val="294"/>
        </w:trPr>
        <w:tc>
          <w:tcPr>
            <w:tcW w:w="4529" w:type="dxa"/>
            <w:gridSpan w:val="3"/>
            <w:tcBorders>
              <w:top w:val="nil"/>
              <w:left w:val="nil"/>
              <w:bottom w:val="nil"/>
              <w:right w:val="nil"/>
            </w:tcBorders>
            <w:shd w:val="clear" w:color="000000" w:fill="FFFFFF"/>
            <w:noWrap/>
            <w:vAlign w:val="bottom"/>
            <w:hideMark/>
          </w:tcPr>
          <w:p w:rsidR="00AB7E1B" w:rsidRPr="00AB7E1B" w:rsidRDefault="00AB7E1B" w:rsidP="00AB7E1B">
            <w:pPr>
              <w:jc w:val="center"/>
              <w:rPr>
                <w:rFonts w:ascii="Arial" w:hAnsi="Arial" w:cs="Arial"/>
                <w:b/>
                <w:bCs/>
                <w:sz w:val="20"/>
                <w:szCs w:val="20"/>
              </w:rPr>
            </w:pPr>
            <w:r w:rsidRPr="00AB7E1B">
              <w:rPr>
                <w:rFonts w:ascii="Arial" w:hAnsi="Arial" w:cs="Arial"/>
                <w:b/>
                <w:bCs/>
                <w:sz w:val="20"/>
                <w:szCs w:val="20"/>
              </w:rPr>
              <w:t>EN EL ÍNDICE DE PRECIOS AL POR MAYOR</w:t>
            </w:r>
          </w:p>
        </w:tc>
      </w:tr>
      <w:tr w:rsidR="00AB7E1B" w:rsidRPr="00AB7E1B" w:rsidTr="00AB7E1B">
        <w:trPr>
          <w:trHeight w:val="250"/>
        </w:trPr>
        <w:tc>
          <w:tcPr>
            <w:tcW w:w="4529" w:type="dxa"/>
            <w:gridSpan w:val="3"/>
            <w:tcBorders>
              <w:top w:val="nil"/>
              <w:left w:val="nil"/>
              <w:bottom w:val="nil"/>
              <w:right w:val="nil"/>
            </w:tcBorders>
            <w:shd w:val="clear" w:color="000000" w:fill="FFFFFF"/>
            <w:noWrap/>
            <w:vAlign w:val="bottom"/>
            <w:hideMark/>
          </w:tcPr>
          <w:p w:rsidR="00AB7E1B" w:rsidRPr="00AB7E1B" w:rsidRDefault="00AB7E1B" w:rsidP="00AB7E1B">
            <w:pPr>
              <w:jc w:val="center"/>
              <w:rPr>
                <w:rFonts w:ascii="Arial" w:hAnsi="Arial" w:cs="Arial"/>
                <w:b/>
                <w:bCs/>
                <w:sz w:val="20"/>
                <w:szCs w:val="20"/>
              </w:rPr>
            </w:pPr>
            <w:r w:rsidRPr="00AB7E1B">
              <w:rPr>
                <w:rFonts w:ascii="Arial" w:hAnsi="Arial" w:cs="Arial"/>
                <w:b/>
                <w:bCs/>
                <w:sz w:val="20"/>
                <w:szCs w:val="20"/>
              </w:rPr>
              <w:t>PERIODO: ENERO - DICIEMBRE 2010</w:t>
            </w:r>
          </w:p>
        </w:tc>
      </w:tr>
      <w:tr w:rsidR="00AB7E1B" w:rsidRPr="00AB7E1B" w:rsidTr="00AB7E1B">
        <w:trPr>
          <w:trHeight w:val="250"/>
        </w:trPr>
        <w:tc>
          <w:tcPr>
            <w:tcW w:w="4529" w:type="dxa"/>
            <w:gridSpan w:val="3"/>
            <w:tcBorders>
              <w:top w:val="nil"/>
              <w:left w:val="nil"/>
              <w:bottom w:val="nil"/>
              <w:right w:val="nil"/>
            </w:tcBorders>
            <w:shd w:val="clear" w:color="000000" w:fill="FFFFFF"/>
            <w:noWrap/>
            <w:vAlign w:val="bottom"/>
            <w:hideMark/>
          </w:tcPr>
          <w:p w:rsidR="00AB7E1B" w:rsidRPr="00AB7E1B" w:rsidRDefault="00AB7E1B" w:rsidP="00AB7E1B">
            <w:pPr>
              <w:jc w:val="center"/>
              <w:rPr>
                <w:rFonts w:ascii="Arial" w:hAnsi="Arial" w:cs="Arial"/>
                <w:b/>
                <w:bCs/>
                <w:sz w:val="20"/>
                <w:szCs w:val="20"/>
              </w:rPr>
            </w:pPr>
            <w:r w:rsidRPr="00AB7E1B">
              <w:rPr>
                <w:rFonts w:ascii="Arial" w:hAnsi="Arial" w:cs="Arial"/>
                <w:b/>
                <w:bCs/>
                <w:sz w:val="20"/>
                <w:szCs w:val="20"/>
              </w:rPr>
              <w:t>(Nuevos Soles por bolsa de 12 kilogramos)</w:t>
            </w:r>
          </w:p>
        </w:tc>
      </w:tr>
      <w:tr w:rsidR="00AB7E1B" w:rsidRPr="00AB7E1B" w:rsidTr="00AB7E1B">
        <w:trPr>
          <w:trHeight w:val="265"/>
        </w:trPr>
        <w:tc>
          <w:tcPr>
            <w:tcW w:w="585" w:type="dxa"/>
            <w:tcBorders>
              <w:top w:val="nil"/>
              <w:left w:val="nil"/>
              <w:bottom w:val="nil"/>
              <w:right w:val="nil"/>
            </w:tcBorders>
            <w:shd w:val="clear" w:color="000000" w:fill="FFFFFF"/>
            <w:noWrap/>
            <w:vAlign w:val="bottom"/>
            <w:hideMark/>
          </w:tcPr>
          <w:p w:rsidR="00AB7E1B" w:rsidRPr="00AB7E1B" w:rsidRDefault="00AB7E1B" w:rsidP="00AB7E1B">
            <w:pPr>
              <w:rPr>
                <w:rFonts w:ascii="Arial" w:hAnsi="Arial" w:cs="Arial"/>
                <w:sz w:val="20"/>
                <w:szCs w:val="20"/>
              </w:rPr>
            </w:pPr>
            <w:r w:rsidRPr="00AB7E1B">
              <w:rPr>
                <w:rFonts w:ascii="Arial" w:hAnsi="Arial" w:cs="Arial"/>
                <w:sz w:val="20"/>
                <w:szCs w:val="20"/>
              </w:rPr>
              <w:t> </w:t>
            </w:r>
          </w:p>
        </w:tc>
        <w:tc>
          <w:tcPr>
            <w:tcW w:w="1164" w:type="dxa"/>
            <w:tcBorders>
              <w:top w:val="nil"/>
              <w:left w:val="nil"/>
              <w:bottom w:val="nil"/>
              <w:right w:val="nil"/>
            </w:tcBorders>
            <w:shd w:val="clear" w:color="000000" w:fill="FFFFFF"/>
            <w:noWrap/>
            <w:vAlign w:val="bottom"/>
            <w:hideMark/>
          </w:tcPr>
          <w:p w:rsidR="00AB7E1B" w:rsidRPr="00AB7E1B" w:rsidRDefault="00AB7E1B" w:rsidP="00AB7E1B">
            <w:pPr>
              <w:rPr>
                <w:rFonts w:ascii="Arial" w:hAnsi="Arial" w:cs="Arial"/>
                <w:sz w:val="20"/>
                <w:szCs w:val="20"/>
              </w:rPr>
            </w:pPr>
            <w:r w:rsidRPr="00AB7E1B">
              <w:rPr>
                <w:rFonts w:ascii="Arial" w:hAnsi="Arial" w:cs="Arial"/>
                <w:sz w:val="20"/>
                <w:szCs w:val="20"/>
              </w:rPr>
              <w:t> </w:t>
            </w:r>
          </w:p>
        </w:tc>
        <w:tc>
          <w:tcPr>
            <w:tcW w:w="2780" w:type="dxa"/>
            <w:tcBorders>
              <w:top w:val="nil"/>
              <w:left w:val="nil"/>
              <w:bottom w:val="nil"/>
              <w:right w:val="nil"/>
            </w:tcBorders>
            <w:shd w:val="clear" w:color="000000" w:fill="FFFFFF"/>
            <w:noWrap/>
            <w:vAlign w:val="bottom"/>
            <w:hideMark/>
          </w:tcPr>
          <w:p w:rsidR="00AB7E1B" w:rsidRPr="00AB7E1B" w:rsidRDefault="00AB7E1B" w:rsidP="00AB7E1B">
            <w:pPr>
              <w:rPr>
                <w:rFonts w:ascii="Arial" w:hAnsi="Arial" w:cs="Arial"/>
                <w:sz w:val="20"/>
                <w:szCs w:val="20"/>
              </w:rPr>
            </w:pPr>
            <w:r w:rsidRPr="00AB7E1B">
              <w:rPr>
                <w:rFonts w:ascii="Arial" w:hAnsi="Arial" w:cs="Arial"/>
                <w:sz w:val="20"/>
                <w:szCs w:val="20"/>
              </w:rPr>
              <w:t> </w:t>
            </w:r>
          </w:p>
        </w:tc>
      </w:tr>
      <w:tr w:rsidR="00AB7E1B" w:rsidRPr="00AB7E1B" w:rsidTr="00AB7E1B">
        <w:trPr>
          <w:trHeight w:val="250"/>
        </w:trPr>
        <w:tc>
          <w:tcPr>
            <w:tcW w:w="585" w:type="dxa"/>
            <w:tcBorders>
              <w:top w:val="single" w:sz="8" w:space="0" w:color="auto"/>
              <w:left w:val="single" w:sz="8" w:space="0" w:color="auto"/>
              <w:bottom w:val="nil"/>
              <w:right w:val="nil"/>
            </w:tcBorders>
            <w:shd w:val="clear" w:color="000000" w:fill="FFFFFF"/>
            <w:noWrap/>
            <w:vAlign w:val="bottom"/>
            <w:hideMark/>
          </w:tcPr>
          <w:p w:rsidR="00AB7E1B" w:rsidRPr="00AB7E1B" w:rsidRDefault="00AB7E1B" w:rsidP="00AB7E1B">
            <w:pPr>
              <w:jc w:val="center"/>
              <w:rPr>
                <w:rFonts w:ascii="Arial" w:hAnsi="Arial" w:cs="Arial"/>
                <w:b/>
                <w:bCs/>
                <w:sz w:val="20"/>
                <w:szCs w:val="20"/>
              </w:rPr>
            </w:pPr>
            <w:r w:rsidRPr="00AB7E1B">
              <w:rPr>
                <w:rFonts w:ascii="Arial" w:hAnsi="Arial" w:cs="Arial"/>
                <w:b/>
                <w:bCs/>
                <w:sz w:val="20"/>
                <w:szCs w:val="20"/>
              </w:rPr>
              <w:t>Año</w:t>
            </w:r>
          </w:p>
        </w:tc>
        <w:tc>
          <w:tcPr>
            <w:tcW w:w="1164" w:type="dxa"/>
            <w:tcBorders>
              <w:top w:val="single" w:sz="8" w:space="0" w:color="auto"/>
              <w:left w:val="single" w:sz="4" w:space="0" w:color="auto"/>
              <w:bottom w:val="nil"/>
              <w:right w:val="single" w:sz="4" w:space="0" w:color="auto"/>
            </w:tcBorders>
            <w:shd w:val="clear" w:color="000000" w:fill="FFFFFF"/>
            <w:noWrap/>
            <w:vAlign w:val="bottom"/>
            <w:hideMark/>
          </w:tcPr>
          <w:p w:rsidR="00AB7E1B" w:rsidRPr="00AB7E1B" w:rsidRDefault="00AB7E1B" w:rsidP="00AB7E1B">
            <w:pPr>
              <w:jc w:val="center"/>
              <w:rPr>
                <w:rFonts w:ascii="Arial" w:hAnsi="Arial" w:cs="Arial"/>
                <w:b/>
                <w:bCs/>
                <w:sz w:val="20"/>
                <w:szCs w:val="20"/>
              </w:rPr>
            </w:pPr>
            <w:r w:rsidRPr="00AB7E1B">
              <w:rPr>
                <w:rFonts w:ascii="Arial" w:hAnsi="Arial" w:cs="Arial"/>
                <w:b/>
                <w:bCs/>
                <w:sz w:val="20"/>
                <w:szCs w:val="20"/>
              </w:rPr>
              <w:t>Mes</w:t>
            </w:r>
          </w:p>
        </w:tc>
        <w:tc>
          <w:tcPr>
            <w:tcW w:w="2780" w:type="dxa"/>
            <w:tcBorders>
              <w:top w:val="single" w:sz="8" w:space="0" w:color="auto"/>
              <w:left w:val="nil"/>
              <w:bottom w:val="nil"/>
              <w:right w:val="single" w:sz="8" w:space="0" w:color="auto"/>
            </w:tcBorders>
            <w:shd w:val="clear" w:color="000000" w:fill="FFFFFF"/>
            <w:noWrap/>
            <w:vAlign w:val="bottom"/>
            <w:hideMark/>
          </w:tcPr>
          <w:p w:rsidR="00AB7E1B" w:rsidRPr="00AB7E1B" w:rsidRDefault="00AB7E1B" w:rsidP="00AB7E1B">
            <w:pPr>
              <w:jc w:val="center"/>
              <w:rPr>
                <w:rFonts w:ascii="Arial" w:hAnsi="Arial" w:cs="Arial"/>
                <w:b/>
                <w:bCs/>
                <w:sz w:val="20"/>
                <w:szCs w:val="20"/>
              </w:rPr>
            </w:pPr>
            <w:r w:rsidRPr="00AB7E1B">
              <w:rPr>
                <w:rFonts w:ascii="Arial" w:hAnsi="Arial" w:cs="Arial"/>
                <w:b/>
                <w:bCs/>
                <w:sz w:val="20"/>
                <w:szCs w:val="20"/>
              </w:rPr>
              <w:t>Arroz Superior Envasado</w:t>
            </w:r>
          </w:p>
        </w:tc>
      </w:tr>
      <w:tr w:rsidR="00AB7E1B" w:rsidRPr="00AB7E1B" w:rsidTr="00AB7E1B">
        <w:trPr>
          <w:trHeight w:val="265"/>
        </w:trPr>
        <w:tc>
          <w:tcPr>
            <w:tcW w:w="585" w:type="dxa"/>
            <w:tcBorders>
              <w:top w:val="nil"/>
              <w:left w:val="single" w:sz="8" w:space="0" w:color="auto"/>
              <w:bottom w:val="single" w:sz="8" w:space="0" w:color="auto"/>
              <w:right w:val="nil"/>
            </w:tcBorders>
            <w:shd w:val="clear" w:color="000000" w:fill="FFFFFF"/>
            <w:noWrap/>
            <w:vAlign w:val="bottom"/>
            <w:hideMark/>
          </w:tcPr>
          <w:p w:rsidR="00AB7E1B" w:rsidRPr="00AB7E1B" w:rsidRDefault="00AB7E1B" w:rsidP="00AB7E1B">
            <w:pPr>
              <w:jc w:val="center"/>
              <w:rPr>
                <w:rFonts w:ascii="Arial" w:hAnsi="Arial" w:cs="Arial"/>
                <w:b/>
                <w:bCs/>
                <w:sz w:val="20"/>
                <w:szCs w:val="20"/>
              </w:rPr>
            </w:pPr>
            <w:r w:rsidRPr="00AB7E1B">
              <w:rPr>
                <w:rFonts w:ascii="Arial" w:hAnsi="Arial" w:cs="Arial"/>
                <w:b/>
                <w:bCs/>
                <w:sz w:val="20"/>
                <w:szCs w:val="20"/>
              </w:rPr>
              <w:t> </w:t>
            </w:r>
          </w:p>
        </w:tc>
        <w:tc>
          <w:tcPr>
            <w:tcW w:w="1164" w:type="dxa"/>
            <w:tcBorders>
              <w:top w:val="nil"/>
              <w:left w:val="single" w:sz="4" w:space="0" w:color="auto"/>
              <w:bottom w:val="single" w:sz="8" w:space="0" w:color="auto"/>
              <w:right w:val="single" w:sz="4" w:space="0" w:color="auto"/>
            </w:tcBorders>
            <w:shd w:val="clear" w:color="000000" w:fill="FFFFFF"/>
            <w:noWrap/>
            <w:vAlign w:val="bottom"/>
            <w:hideMark/>
          </w:tcPr>
          <w:p w:rsidR="00AB7E1B" w:rsidRPr="00AB7E1B" w:rsidRDefault="00AB7E1B" w:rsidP="00AB7E1B">
            <w:pPr>
              <w:jc w:val="center"/>
              <w:rPr>
                <w:rFonts w:ascii="Arial" w:hAnsi="Arial" w:cs="Arial"/>
                <w:b/>
                <w:bCs/>
                <w:sz w:val="20"/>
                <w:szCs w:val="20"/>
              </w:rPr>
            </w:pPr>
            <w:r w:rsidRPr="00AB7E1B">
              <w:rPr>
                <w:rFonts w:ascii="Arial" w:hAnsi="Arial" w:cs="Arial"/>
                <w:b/>
                <w:bCs/>
                <w:sz w:val="20"/>
                <w:szCs w:val="20"/>
              </w:rPr>
              <w:t> </w:t>
            </w:r>
          </w:p>
        </w:tc>
        <w:tc>
          <w:tcPr>
            <w:tcW w:w="2780" w:type="dxa"/>
            <w:tcBorders>
              <w:top w:val="nil"/>
              <w:left w:val="nil"/>
              <w:bottom w:val="single" w:sz="8" w:space="0" w:color="auto"/>
              <w:right w:val="single" w:sz="8" w:space="0" w:color="auto"/>
            </w:tcBorders>
            <w:shd w:val="clear" w:color="000000" w:fill="FFFFFF"/>
            <w:noWrap/>
            <w:vAlign w:val="bottom"/>
            <w:hideMark/>
          </w:tcPr>
          <w:p w:rsidR="00AB7E1B" w:rsidRPr="00AB7E1B" w:rsidRDefault="00AB7E1B" w:rsidP="00AB7E1B">
            <w:pPr>
              <w:jc w:val="center"/>
              <w:rPr>
                <w:rFonts w:ascii="Arial" w:hAnsi="Arial" w:cs="Arial"/>
                <w:b/>
                <w:bCs/>
                <w:sz w:val="20"/>
                <w:szCs w:val="20"/>
              </w:rPr>
            </w:pPr>
            <w:r w:rsidRPr="00AB7E1B">
              <w:rPr>
                <w:rFonts w:ascii="Arial" w:hAnsi="Arial" w:cs="Arial"/>
                <w:b/>
                <w:bCs/>
                <w:sz w:val="20"/>
                <w:szCs w:val="20"/>
              </w:rPr>
              <w:t>(S/. por bolsa 12 kg)</w:t>
            </w:r>
          </w:p>
        </w:tc>
      </w:tr>
      <w:tr w:rsidR="00AB7E1B" w:rsidRPr="00AB7E1B" w:rsidTr="00AB7E1B">
        <w:trPr>
          <w:trHeight w:val="353"/>
        </w:trPr>
        <w:tc>
          <w:tcPr>
            <w:tcW w:w="585" w:type="dxa"/>
            <w:vMerge w:val="restart"/>
            <w:tcBorders>
              <w:top w:val="nil"/>
              <w:left w:val="nil"/>
              <w:bottom w:val="single" w:sz="8" w:space="0" w:color="000000"/>
              <w:right w:val="nil"/>
            </w:tcBorders>
            <w:shd w:val="clear" w:color="000000" w:fill="FFFFFF"/>
            <w:noWrap/>
            <w:vAlign w:val="center"/>
            <w:hideMark/>
          </w:tcPr>
          <w:p w:rsidR="00AB7E1B" w:rsidRPr="00AB7E1B" w:rsidRDefault="00AB7E1B" w:rsidP="00AB7E1B">
            <w:pPr>
              <w:jc w:val="center"/>
              <w:rPr>
                <w:rFonts w:ascii="Arial" w:hAnsi="Arial" w:cs="Arial"/>
                <w:b/>
                <w:bCs/>
                <w:sz w:val="20"/>
                <w:szCs w:val="20"/>
              </w:rPr>
            </w:pPr>
            <w:r w:rsidRPr="00AB7E1B">
              <w:rPr>
                <w:rFonts w:ascii="Arial" w:hAnsi="Arial" w:cs="Arial"/>
                <w:b/>
                <w:bCs/>
                <w:sz w:val="20"/>
                <w:szCs w:val="20"/>
              </w:rPr>
              <w:t>2010</w:t>
            </w:r>
          </w:p>
        </w:tc>
        <w:tc>
          <w:tcPr>
            <w:tcW w:w="1164" w:type="dxa"/>
            <w:tcBorders>
              <w:top w:val="nil"/>
              <w:left w:val="nil"/>
              <w:bottom w:val="nil"/>
              <w:right w:val="nil"/>
            </w:tcBorders>
            <w:shd w:val="clear" w:color="000000" w:fill="FFFFFF"/>
            <w:noWrap/>
            <w:vAlign w:val="center"/>
            <w:hideMark/>
          </w:tcPr>
          <w:p w:rsidR="00AB7E1B" w:rsidRPr="00AB7E1B" w:rsidRDefault="00AB7E1B" w:rsidP="00AB7E1B">
            <w:pPr>
              <w:rPr>
                <w:rFonts w:ascii="Arial" w:hAnsi="Arial" w:cs="Arial"/>
                <w:sz w:val="20"/>
                <w:szCs w:val="20"/>
              </w:rPr>
            </w:pPr>
            <w:r w:rsidRPr="00AB7E1B">
              <w:rPr>
                <w:rFonts w:ascii="Arial" w:hAnsi="Arial" w:cs="Arial"/>
                <w:sz w:val="20"/>
                <w:szCs w:val="20"/>
              </w:rPr>
              <w:t>Enero</w:t>
            </w:r>
          </w:p>
        </w:tc>
        <w:tc>
          <w:tcPr>
            <w:tcW w:w="2780" w:type="dxa"/>
            <w:tcBorders>
              <w:top w:val="nil"/>
              <w:left w:val="nil"/>
              <w:bottom w:val="nil"/>
              <w:right w:val="nil"/>
            </w:tcBorders>
            <w:shd w:val="clear" w:color="000000" w:fill="FFFFFF"/>
            <w:noWrap/>
            <w:vAlign w:val="center"/>
            <w:hideMark/>
          </w:tcPr>
          <w:p w:rsidR="00AB7E1B" w:rsidRPr="00AB7E1B" w:rsidRDefault="00AB7E1B" w:rsidP="00AB7E1B">
            <w:pPr>
              <w:jc w:val="center"/>
              <w:rPr>
                <w:rFonts w:ascii="Arial" w:hAnsi="Arial" w:cs="Arial"/>
                <w:sz w:val="20"/>
                <w:szCs w:val="20"/>
              </w:rPr>
            </w:pPr>
            <w:r w:rsidRPr="00AB7E1B">
              <w:rPr>
                <w:rFonts w:ascii="Arial" w:hAnsi="Arial" w:cs="Arial"/>
                <w:sz w:val="20"/>
                <w:szCs w:val="20"/>
              </w:rPr>
              <w:t>35.81</w:t>
            </w:r>
          </w:p>
        </w:tc>
      </w:tr>
      <w:tr w:rsidR="00AB7E1B" w:rsidRPr="00AB7E1B" w:rsidTr="00AB7E1B">
        <w:trPr>
          <w:trHeight w:val="353"/>
        </w:trPr>
        <w:tc>
          <w:tcPr>
            <w:tcW w:w="585" w:type="dxa"/>
            <w:vMerge/>
            <w:tcBorders>
              <w:top w:val="nil"/>
              <w:left w:val="nil"/>
              <w:bottom w:val="single" w:sz="8" w:space="0" w:color="000000"/>
              <w:right w:val="nil"/>
            </w:tcBorders>
            <w:vAlign w:val="center"/>
            <w:hideMark/>
          </w:tcPr>
          <w:p w:rsidR="00AB7E1B" w:rsidRPr="00AB7E1B" w:rsidRDefault="00AB7E1B" w:rsidP="00AB7E1B">
            <w:pPr>
              <w:rPr>
                <w:rFonts w:ascii="Arial" w:hAnsi="Arial" w:cs="Arial"/>
                <w:b/>
                <w:bCs/>
                <w:sz w:val="20"/>
                <w:szCs w:val="20"/>
              </w:rPr>
            </w:pPr>
          </w:p>
        </w:tc>
        <w:tc>
          <w:tcPr>
            <w:tcW w:w="1164" w:type="dxa"/>
            <w:tcBorders>
              <w:top w:val="nil"/>
              <w:left w:val="nil"/>
              <w:bottom w:val="nil"/>
              <w:right w:val="nil"/>
            </w:tcBorders>
            <w:shd w:val="clear" w:color="000000" w:fill="FFFFFF"/>
            <w:noWrap/>
            <w:vAlign w:val="center"/>
            <w:hideMark/>
          </w:tcPr>
          <w:p w:rsidR="00AB7E1B" w:rsidRPr="00AB7E1B" w:rsidRDefault="00AB7E1B" w:rsidP="00AB7E1B">
            <w:pPr>
              <w:rPr>
                <w:rFonts w:ascii="Arial" w:hAnsi="Arial" w:cs="Arial"/>
                <w:sz w:val="20"/>
                <w:szCs w:val="20"/>
              </w:rPr>
            </w:pPr>
            <w:r w:rsidRPr="00AB7E1B">
              <w:rPr>
                <w:rFonts w:ascii="Arial" w:hAnsi="Arial" w:cs="Arial"/>
                <w:sz w:val="20"/>
                <w:szCs w:val="20"/>
              </w:rPr>
              <w:t>Febrero</w:t>
            </w:r>
          </w:p>
        </w:tc>
        <w:tc>
          <w:tcPr>
            <w:tcW w:w="2780" w:type="dxa"/>
            <w:tcBorders>
              <w:top w:val="nil"/>
              <w:left w:val="nil"/>
              <w:bottom w:val="nil"/>
              <w:right w:val="nil"/>
            </w:tcBorders>
            <w:shd w:val="clear" w:color="000000" w:fill="FFFFFF"/>
            <w:noWrap/>
            <w:vAlign w:val="center"/>
            <w:hideMark/>
          </w:tcPr>
          <w:p w:rsidR="00AB7E1B" w:rsidRPr="00AB7E1B" w:rsidRDefault="00AB7E1B" w:rsidP="00AB7E1B">
            <w:pPr>
              <w:jc w:val="center"/>
              <w:rPr>
                <w:rFonts w:ascii="Arial" w:hAnsi="Arial" w:cs="Arial"/>
                <w:sz w:val="20"/>
                <w:szCs w:val="20"/>
              </w:rPr>
            </w:pPr>
            <w:r w:rsidRPr="00AB7E1B">
              <w:rPr>
                <w:rFonts w:ascii="Arial" w:hAnsi="Arial" w:cs="Arial"/>
                <w:sz w:val="20"/>
                <w:szCs w:val="20"/>
              </w:rPr>
              <w:t>35.83</w:t>
            </w:r>
          </w:p>
        </w:tc>
      </w:tr>
      <w:tr w:rsidR="00AB7E1B" w:rsidRPr="00AB7E1B" w:rsidTr="00AB7E1B">
        <w:trPr>
          <w:trHeight w:val="353"/>
        </w:trPr>
        <w:tc>
          <w:tcPr>
            <w:tcW w:w="585" w:type="dxa"/>
            <w:vMerge/>
            <w:tcBorders>
              <w:top w:val="nil"/>
              <w:left w:val="nil"/>
              <w:bottom w:val="single" w:sz="8" w:space="0" w:color="000000"/>
              <w:right w:val="nil"/>
            </w:tcBorders>
            <w:vAlign w:val="center"/>
            <w:hideMark/>
          </w:tcPr>
          <w:p w:rsidR="00AB7E1B" w:rsidRPr="00AB7E1B" w:rsidRDefault="00AB7E1B" w:rsidP="00AB7E1B">
            <w:pPr>
              <w:rPr>
                <w:rFonts w:ascii="Arial" w:hAnsi="Arial" w:cs="Arial"/>
                <w:b/>
                <w:bCs/>
                <w:sz w:val="20"/>
                <w:szCs w:val="20"/>
              </w:rPr>
            </w:pPr>
          </w:p>
        </w:tc>
        <w:tc>
          <w:tcPr>
            <w:tcW w:w="1164" w:type="dxa"/>
            <w:tcBorders>
              <w:top w:val="nil"/>
              <w:left w:val="nil"/>
              <w:bottom w:val="nil"/>
              <w:right w:val="nil"/>
            </w:tcBorders>
            <w:shd w:val="clear" w:color="000000" w:fill="FFFFFF"/>
            <w:noWrap/>
            <w:vAlign w:val="center"/>
            <w:hideMark/>
          </w:tcPr>
          <w:p w:rsidR="00AB7E1B" w:rsidRPr="00AB7E1B" w:rsidRDefault="00AB7E1B" w:rsidP="00AB7E1B">
            <w:pPr>
              <w:rPr>
                <w:rFonts w:ascii="Arial" w:hAnsi="Arial" w:cs="Arial"/>
                <w:sz w:val="20"/>
                <w:szCs w:val="20"/>
              </w:rPr>
            </w:pPr>
            <w:r w:rsidRPr="00AB7E1B">
              <w:rPr>
                <w:rFonts w:ascii="Arial" w:hAnsi="Arial" w:cs="Arial"/>
                <w:sz w:val="20"/>
                <w:szCs w:val="20"/>
              </w:rPr>
              <w:t>Marzo</w:t>
            </w:r>
          </w:p>
        </w:tc>
        <w:tc>
          <w:tcPr>
            <w:tcW w:w="2780" w:type="dxa"/>
            <w:tcBorders>
              <w:top w:val="nil"/>
              <w:left w:val="nil"/>
              <w:bottom w:val="nil"/>
              <w:right w:val="nil"/>
            </w:tcBorders>
            <w:shd w:val="clear" w:color="000000" w:fill="FFFFFF"/>
            <w:noWrap/>
            <w:vAlign w:val="center"/>
            <w:hideMark/>
          </w:tcPr>
          <w:p w:rsidR="00AB7E1B" w:rsidRPr="00AB7E1B" w:rsidRDefault="00AB7E1B" w:rsidP="00AB7E1B">
            <w:pPr>
              <w:jc w:val="center"/>
              <w:rPr>
                <w:rFonts w:ascii="Arial" w:hAnsi="Arial" w:cs="Arial"/>
                <w:sz w:val="20"/>
                <w:szCs w:val="20"/>
              </w:rPr>
            </w:pPr>
            <w:r w:rsidRPr="00AB7E1B">
              <w:rPr>
                <w:rFonts w:ascii="Arial" w:hAnsi="Arial" w:cs="Arial"/>
                <w:sz w:val="20"/>
                <w:szCs w:val="20"/>
              </w:rPr>
              <w:t>35.83</w:t>
            </w:r>
          </w:p>
        </w:tc>
      </w:tr>
      <w:tr w:rsidR="00AB7E1B" w:rsidRPr="00AB7E1B" w:rsidTr="00AB7E1B">
        <w:trPr>
          <w:trHeight w:val="353"/>
        </w:trPr>
        <w:tc>
          <w:tcPr>
            <w:tcW w:w="585" w:type="dxa"/>
            <w:vMerge/>
            <w:tcBorders>
              <w:top w:val="nil"/>
              <w:left w:val="nil"/>
              <w:bottom w:val="single" w:sz="8" w:space="0" w:color="000000"/>
              <w:right w:val="nil"/>
            </w:tcBorders>
            <w:vAlign w:val="center"/>
            <w:hideMark/>
          </w:tcPr>
          <w:p w:rsidR="00AB7E1B" w:rsidRPr="00AB7E1B" w:rsidRDefault="00AB7E1B" w:rsidP="00AB7E1B">
            <w:pPr>
              <w:rPr>
                <w:rFonts w:ascii="Arial" w:hAnsi="Arial" w:cs="Arial"/>
                <w:b/>
                <w:bCs/>
                <w:sz w:val="20"/>
                <w:szCs w:val="20"/>
              </w:rPr>
            </w:pPr>
          </w:p>
        </w:tc>
        <w:tc>
          <w:tcPr>
            <w:tcW w:w="1164" w:type="dxa"/>
            <w:tcBorders>
              <w:top w:val="nil"/>
              <w:left w:val="nil"/>
              <w:bottom w:val="nil"/>
              <w:right w:val="nil"/>
            </w:tcBorders>
            <w:shd w:val="clear" w:color="000000" w:fill="FFFFFF"/>
            <w:noWrap/>
            <w:vAlign w:val="center"/>
            <w:hideMark/>
          </w:tcPr>
          <w:p w:rsidR="00AB7E1B" w:rsidRPr="00AB7E1B" w:rsidRDefault="00AB7E1B" w:rsidP="00AB7E1B">
            <w:pPr>
              <w:rPr>
                <w:rFonts w:ascii="Arial" w:hAnsi="Arial" w:cs="Arial"/>
                <w:sz w:val="20"/>
                <w:szCs w:val="20"/>
              </w:rPr>
            </w:pPr>
            <w:r w:rsidRPr="00AB7E1B">
              <w:rPr>
                <w:rFonts w:ascii="Arial" w:hAnsi="Arial" w:cs="Arial"/>
                <w:sz w:val="20"/>
                <w:szCs w:val="20"/>
              </w:rPr>
              <w:t>Abril</w:t>
            </w:r>
          </w:p>
        </w:tc>
        <w:tc>
          <w:tcPr>
            <w:tcW w:w="2780" w:type="dxa"/>
            <w:tcBorders>
              <w:top w:val="nil"/>
              <w:left w:val="nil"/>
              <w:bottom w:val="nil"/>
              <w:right w:val="nil"/>
            </w:tcBorders>
            <w:shd w:val="clear" w:color="000000" w:fill="FFFFFF"/>
            <w:noWrap/>
            <w:vAlign w:val="center"/>
            <w:hideMark/>
          </w:tcPr>
          <w:p w:rsidR="00AB7E1B" w:rsidRPr="00AB7E1B" w:rsidRDefault="00AB7E1B" w:rsidP="00AB7E1B">
            <w:pPr>
              <w:jc w:val="center"/>
              <w:rPr>
                <w:rFonts w:ascii="Arial" w:hAnsi="Arial" w:cs="Arial"/>
                <w:sz w:val="20"/>
                <w:szCs w:val="20"/>
              </w:rPr>
            </w:pPr>
            <w:r w:rsidRPr="00AB7E1B">
              <w:rPr>
                <w:rFonts w:ascii="Arial" w:hAnsi="Arial" w:cs="Arial"/>
                <w:sz w:val="20"/>
                <w:szCs w:val="20"/>
              </w:rPr>
              <w:t>35.59</w:t>
            </w:r>
          </w:p>
        </w:tc>
      </w:tr>
      <w:tr w:rsidR="00AB7E1B" w:rsidRPr="00AB7E1B" w:rsidTr="00AB7E1B">
        <w:trPr>
          <w:trHeight w:val="353"/>
        </w:trPr>
        <w:tc>
          <w:tcPr>
            <w:tcW w:w="585" w:type="dxa"/>
            <w:vMerge/>
            <w:tcBorders>
              <w:top w:val="nil"/>
              <w:left w:val="nil"/>
              <w:bottom w:val="single" w:sz="8" w:space="0" w:color="000000"/>
              <w:right w:val="nil"/>
            </w:tcBorders>
            <w:vAlign w:val="center"/>
            <w:hideMark/>
          </w:tcPr>
          <w:p w:rsidR="00AB7E1B" w:rsidRPr="00AB7E1B" w:rsidRDefault="00AB7E1B" w:rsidP="00AB7E1B">
            <w:pPr>
              <w:rPr>
                <w:rFonts w:ascii="Arial" w:hAnsi="Arial" w:cs="Arial"/>
                <w:b/>
                <w:bCs/>
                <w:sz w:val="20"/>
                <w:szCs w:val="20"/>
              </w:rPr>
            </w:pPr>
          </w:p>
        </w:tc>
        <w:tc>
          <w:tcPr>
            <w:tcW w:w="1164" w:type="dxa"/>
            <w:tcBorders>
              <w:top w:val="nil"/>
              <w:left w:val="nil"/>
              <w:bottom w:val="nil"/>
              <w:right w:val="nil"/>
            </w:tcBorders>
            <w:shd w:val="clear" w:color="000000" w:fill="FFFFFF"/>
            <w:noWrap/>
            <w:vAlign w:val="center"/>
            <w:hideMark/>
          </w:tcPr>
          <w:p w:rsidR="00AB7E1B" w:rsidRPr="00AB7E1B" w:rsidRDefault="00AB7E1B" w:rsidP="00AB7E1B">
            <w:pPr>
              <w:rPr>
                <w:rFonts w:ascii="Arial" w:hAnsi="Arial" w:cs="Arial"/>
                <w:sz w:val="20"/>
                <w:szCs w:val="20"/>
              </w:rPr>
            </w:pPr>
            <w:r w:rsidRPr="00AB7E1B">
              <w:rPr>
                <w:rFonts w:ascii="Arial" w:hAnsi="Arial" w:cs="Arial"/>
                <w:sz w:val="20"/>
                <w:szCs w:val="20"/>
              </w:rPr>
              <w:t>Mayo</w:t>
            </w:r>
          </w:p>
        </w:tc>
        <w:tc>
          <w:tcPr>
            <w:tcW w:w="2780" w:type="dxa"/>
            <w:tcBorders>
              <w:top w:val="nil"/>
              <w:left w:val="nil"/>
              <w:bottom w:val="nil"/>
              <w:right w:val="nil"/>
            </w:tcBorders>
            <w:shd w:val="clear" w:color="000000" w:fill="FFFFFF"/>
            <w:noWrap/>
            <w:vAlign w:val="center"/>
            <w:hideMark/>
          </w:tcPr>
          <w:p w:rsidR="00AB7E1B" w:rsidRPr="00AB7E1B" w:rsidRDefault="00AB7E1B" w:rsidP="00AB7E1B">
            <w:pPr>
              <w:jc w:val="center"/>
              <w:rPr>
                <w:rFonts w:ascii="Arial" w:hAnsi="Arial" w:cs="Arial"/>
                <w:sz w:val="20"/>
                <w:szCs w:val="20"/>
              </w:rPr>
            </w:pPr>
            <w:r w:rsidRPr="00AB7E1B">
              <w:rPr>
                <w:rFonts w:ascii="Arial" w:hAnsi="Arial" w:cs="Arial"/>
                <w:sz w:val="20"/>
                <w:szCs w:val="20"/>
              </w:rPr>
              <w:t>35.64</w:t>
            </w:r>
          </w:p>
        </w:tc>
      </w:tr>
      <w:tr w:rsidR="00AB7E1B" w:rsidRPr="00AB7E1B" w:rsidTr="00AB7E1B">
        <w:trPr>
          <w:trHeight w:val="353"/>
        </w:trPr>
        <w:tc>
          <w:tcPr>
            <w:tcW w:w="585" w:type="dxa"/>
            <w:vMerge/>
            <w:tcBorders>
              <w:top w:val="nil"/>
              <w:left w:val="nil"/>
              <w:bottom w:val="single" w:sz="8" w:space="0" w:color="000000"/>
              <w:right w:val="nil"/>
            </w:tcBorders>
            <w:vAlign w:val="center"/>
            <w:hideMark/>
          </w:tcPr>
          <w:p w:rsidR="00AB7E1B" w:rsidRPr="00AB7E1B" w:rsidRDefault="00AB7E1B" w:rsidP="00AB7E1B">
            <w:pPr>
              <w:rPr>
                <w:rFonts w:ascii="Arial" w:hAnsi="Arial" w:cs="Arial"/>
                <w:b/>
                <w:bCs/>
                <w:sz w:val="20"/>
                <w:szCs w:val="20"/>
              </w:rPr>
            </w:pPr>
          </w:p>
        </w:tc>
        <w:tc>
          <w:tcPr>
            <w:tcW w:w="1164" w:type="dxa"/>
            <w:tcBorders>
              <w:top w:val="nil"/>
              <w:left w:val="nil"/>
              <w:bottom w:val="nil"/>
              <w:right w:val="nil"/>
            </w:tcBorders>
            <w:shd w:val="clear" w:color="000000" w:fill="FFFFFF"/>
            <w:noWrap/>
            <w:vAlign w:val="center"/>
            <w:hideMark/>
          </w:tcPr>
          <w:p w:rsidR="00AB7E1B" w:rsidRPr="00AB7E1B" w:rsidRDefault="00AB7E1B" w:rsidP="00AB7E1B">
            <w:pPr>
              <w:rPr>
                <w:rFonts w:ascii="Arial" w:hAnsi="Arial" w:cs="Arial"/>
                <w:sz w:val="20"/>
                <w:szCs w:val="20"/>
              </w:rPr>
            </w:pPr>
            <w:r w:rsidRPr="00AB7E1B">
              <w:rPr>
                <w:rFonts w:ascii="Arial" w:hAnsi="Arial" w:cs="Arial"/>
                <w:sz w:val="20"/>
                <w:szCs w:val="20"/>
              </w:rPr>
              <w:t>Junio</w:t>
            </w:r>
          </w:p>
        </w:tc>
        <w:tc>
          <w:tcPr>
            <w:tcW w:w="2780" w:type="dxa"/>
            <w:tcBorders>
              <w:top w:val="nil"/>
              <w:left w:val="nil"/>
              <w:bottom w:val="nil"/>
              <w:right w:val="nil"/>
            </w:tcBorders>
            <w:shd w:val="clear" w:color="000000" w:fill="FFFFFF"/>
            <w:noWrap/>
            <w:vAlign w:val="center"/>
            <w:hideMark/>
          </w:tcPr>
          <w:p w:rsidR="00AB7E1B" w:rsidRPr="00AB7E1B" w:rsidRDefault="00AB7E1B" w:rsidP="00AB7E1B">
            <w:pPr>
              <w:jc w:val="center"/>
              <w:rPr>
                <w:rFonts w:ascii="Arial" w:hAnsi="Arial" w:cs="Arial"/>
                <w:sz w:val="20"/>
                <w:szCs w:val="20"/>
              </w:rPr>
            </w:pPr>
            <w:r w:rsidRPr="00AB7E1B">
              <w:rPr>
                <w:rFonts w:ascii="Arial" w:hAnsi="Arial" w:cs="Arial"/>
                <w:sz w:val="20"/>
                <w:szCs w:val="20"/>
              </w:rPr>
              <w:t>34.97</w:t>
            </w:r>
          </w:p>
        </w:tc>
      </w:tr>
      <w:tr w:rsidR="00AB7E1B" w:rsidRPr="00AB7E1B" w:rsidTr="00AB7E1B">
        <w:trPr>
          <w:trHeight w:val="353"/>
        </w:trPr>
        <w:tc>
          <w:tcPr>
            <w:tcW w:w="585" w:type="dxa"/>
            <w:vMerge/>
            <w:tcBorders>
              <w:top w:val="nil"/>
              <w:left w:val="nil"/>
              <w:bottom w:val="single" w:sz="8" w:space="0" w:color="000000"/>
              <w:right w:val="nil"/>
            </w:tcBorders>
            <w:vAlign w:val="center"/>
            <w:hideMark/>
          </w:tcPr>
          <w:p w:rsidR="00AB7E1B" w:rsidRPr="00AB7E1B" w:rsidRDefault="00AB7E1B" w:rsidP="00AB7E1B">
            <w:pPr>
              <w:rPr>
                <w:rFonts w:ascii="Arial" w:hAnsi="Arial" w:cs="Arial"/>
                <w:b/>
                <w:bCs/>
                <w:sz w:val="20"/>
                <w:szCs w:val="20"/>
              </w:rPr>
            </w:pPr>
          </w:p>
        </w:tc>
        <w:tc>
          <w:tcPr>
            <w:tcW w:w="1164" w:type="dxa"/>
            <w:tcBorders>
              <w:top w:val="nil"/>
              <w:left w:val="nil"/>
              <w:bottom w:val="nil"/>
              <w:right w:val="nil"/>
            </w:tcBorders>
            <w:shd w:val="clear" w:color="000000" w:fill="FFFFFF"/>
            <w:noWrap/>
            <w:vAlign w:val="center"/>
            <w:hideMark/>
          </w:tcPr>
          <w:p w:rsidR="00AB7E1B" w:rsidRPr="00AB7E1B" w:rsidRDefault="00AB7E1B" w:rsidP="00AB7E1B">
            <w:pPr>
              <w:rPr>
                <w:rFonts w:ascii="Arial" w:hAnsi="Arial" w:cs="Arial"/>
                <w:sz w:val="20"/>
                <w:szCs w:val="20"/>
              </w:rPr>
            </w:pPr>
            <w:r w:rsidRPr="00AB7E1B">
              <w:rPr>
                <w:rFonts w:ascii="Arial" w:hAnsi="Arial" w:cs="Arial"/>
                <w:sz w:val="20"/>
                <w:szCs w:val="20"/>
              </w:rPr>
              <w:t>Julio</w:t>
            </w:r>
          </w:p>
        </w:tc>
        <w:tc>
          <w:tcPr>
            <w:tcW w:w="2780" w:type="dxa"/>
            <w:tcBorders>
              <w:top w:val="nil"/>
              <w:left w:val="nil"/>
              <w:bottom w:val="nil"/>
              <w:right w:val="nil"/>
            </w:tcBorders>
            <w:shd w:val="clear" w:color="000000" w:fill="FFFFFF"/>
            <w:noWrap/>
            <w:vAlign w:val="center"/>
            <w:hideMark/>
          </w:tcPr>
          <w:p w:rsidR="00AB7E1B" w:rsidRPr="00AB7E1B" w:rsidRDefault="00AB7E1B" w:rsidP="00AB7E1B">
            <w:pPr>
              <w:jc w:val="center"/>
              <w:rPr>
                <w:rFonts w:ascii="Arial" w:hAnsi="Arial" w:cs="Arial"/>
                <w:sz w:val="20"/>
                <w:szCs w:val="20"/>
              </w:rPr>
            </w:pPr>
            <w:r w:rsidRPr="00AB7E1B">
              <w:rPr>
                <w:rFonts w:ascii="Arial" w:hAnsi="Arial" w:cs="Arial"/>
                <w:sz w:val="20"/>
                <w:szCs w:val="20"/>
              </w:rPr>
              <w:t>34.75</w:t>
            </w:r>
          </w:p>
        </w:tc>
      </w:tr>
      <w:tr w:rsidR="00AB7E1B" w:rsidRPr="00AB7E1B" w:rsidTr="00AB7E1B">
        <w:trPr>
          <w:trHeight w:val="353"/>
        </w:trPr>
        <w:tc>
          <w:tcPr>
            <w:tcW w:w="585" w:type="dxa"/>
            <w:vMerge/>
            <w:tcBorders>
              <w:top w:val="nil"/>
              <w:left w:val="nil"/>
              <w:bottom w:val="single" w:sz="8" w:space="0" w:color="000000"/>
              <w:right w:val="nil"/>
            </w:tcBorders>
            <w:vAlign w:val="center"/>
            <w:hideMark/>
          </w:tcPr>
          <w:p w:rsidR="00AB7E1B" w:rsidRPr="00AB7E1B" w:rsidRDefault="00AB7E1B" w:rsidP="00AB7E1B">
            <w:pPr>
              <w:rPr>
                <w:rFonts w:ascii="Arial" w:hAnsi="Arial" w:cs="Arial"/>
                <w:b/>
                <w:bCs/>
                <w:sz w:val="20"/>
                <w:szCs w:val="20"/>
              </w:rPr>
            </w:pPr>
          </w:p>
        </w:tc>
        <w:tc>
          <w:tcPr>
            <w:tcW w:w="1164" w:type="dxa"/>
            <w:tcBorders>
              <w:top w:val="nil"/>
              <w:left w:val="nil"/>
              <w:bottom w:val="nil"/>
              <w:right w:val="nil"/>
            </w:tcBorders>
            <w:shd w:val="clear" w:color="000000" w:fill="FFFFFF"/>
            <w:noWrap/>
            <w:vAlign w:val="center"/>
            <w:hideMark/>
          </w:tcPr>
          <w:p w:rsidR="00AB7E1B" w:rsidRPr="00AB7E1B" w:rsidRDefault="00AB7E1B" w:rsidP="00AB7E1B">
            <w:pPr>
              <w:rPr>
                <w:rFonts w:ascii="Arial" w:hAnsi="Arial" w:cs="Arial"/>
                <w:sz w:val="20"/>
                <w:szCs w:val="20"/>
              </w:rPr>
            </w:pPr>
            <w:r>
              <w:rPr>
                <w:rFonts w:ascii="Arial" w:hAnsi="Arial" w:cs="Arial"/>
                <w:sz w:val="20"/>
                <w:szCs w:val="20"/>
              </w:rPr>
              <w:t>A</w:t>
            </w:r>
            <w:r w:rsidRPr="00AB7E1B">
              <w:rPr>
                <w:rFonts w:ascii="Arial" w:hAnsi="Arial" w:cs="Arial"/>
                <w:sz w:val="20"/>
                <w:szCs w:val="20"/>
              </w:rPr>
              <w:t>gosto</w:t>
            </w:r>
          </w:p>
        </w:tc>
        <w:tc>
          <w:tcPr>
            <w:tcW w:w="2780" w:type="dxa"/>
            <w:tcBorders>
              <w:top w:val="nil"/>
              <w:left w:val="nil"/>
              <w:bottom w:val="nil"/>
              <w:right w:val="nil"/>
            </w:tcBorders>
            <w:shd w:val="clear" w:color="000000" w:fill="FFFFFF"/>
            <w:noWrap/>
            <w:vAlign w:val="center"/>
            <w:hideMark/>
          </w:tcPr>
          <w:p w:rsidR="00AB7E1B" w:rsidRDefault="00AB7E1B" w:rsidP="00AB7E1B">
            <w:pPr>
              <w:rPr>
                <w:rFonts w:ascii="Arial" w:hAnsi="Arial" w:cs="Arial"/>
                <w:sz w:val="20"/>
                <w:szCs w:val="20"/>
              </w:rPr>
            </w:pPr>
          </w:p>
          <w:p w:rsidR="00AB7E1B" w:rsidRPr="00AB7E1B" w:rsidRDefault="00AB7E1B" w:rsidP="00AB7E1B">
            <w:pPr>
              <w:jc w:val="center"/>
              <w:rPr>
                <w:rFonts w:ascii="Arial" w:hAnsi="Arial" w:cs="Arial"/>
                <w:sz w:val="20"/>
                <w:szCs w:val="20"/>
              </w:rPr>
            </w:pPr>
            <w:r w:rsidRPr="00AB7E1B">
              <w:rPr>
                <w:rFonts w:ascii="Arial" w:hAnsi="Arial" w:cs="Arial"/>
                <w:sz w:val="20"/>
                <w:szCs w:val="20"/>
              </w:rPr>
              <w:t>35.13</w:t>
            </w:r>
          </w:p>
          <w:p w:rsidR="00AB7E1B" w:rsidRPr="00AB7E1B" w:rsidRDefault="00AB7E1B" w:rsidP="00AB7E1B">
            <w:pPr>
              <w:rPr>
                <w:rFonts w:ascii="Arial" w:hAnsi="Arial" w:cs="Arial"/>
                <w:sz w:val="20"/>
                <w:szCs w:val="20"/>
              </w:rPr>
            </w:pPr>
          </w:p>
        </w:tc>
      </w:tr>
      <w:tr w:rsidR="00AB7E1B" w:rsidRPr="00AB7E1B" w:rsidTr="00AB7E1B">
        <w:trPr>
          <w:trHeight w:val="41"/>
        </w:trPr>
        <w:tc>
          <w:tcPr>
            <w:tcW w:w="585" w:type="dxa"/>
            <w:vMerge/>
            <w:tcBorders>
              <w:top w:val="nil"/>
              <w:left w:val="nil"/>
              <w:bottom w:val="single" w:sz="8" w:space="0" w:color="000000"/>
              <w:right w:val="nil"/>
            </w:tcBorders>
            <w:vAlign w:val="center"/>
            <w:hideMark/>
          </w:tcPr>
          <w:p w:rsidR="00AB7E1B" w:rsidRPr="00AB7E1B" w:rsidRDefault="00AB7E1B" w:rsidP="00AB7E1B">
            <w:pPr>
              <w:rPr>
                <w:rFonts w:ascii="Arial" w:hAnsi="Arial" w:cs="Arial"/>
                <w:b/>
                <w:bCs/>
                <w:sz w:val="20"/>
                <w:szCs w:val="20"/>
              </w:rPr>
            </w:pPr>
          </w:p>
        </w:tc>
        <w:tc>
          <w:tcPr>
            <w:tcW w:w="1164" w:type="dxa"/>
            <w:tcBorders>
              <w:top w:val="nil"/>
              <w:left w:val="nil"/>
              <w:bottom w:val="nil"/>
              <w:right w:val="nil"/>
            </w:tcBorders>
            <w:shd w:val="clear" w:color="000000" w:fill="FFFFFF"/>
            <w:noWrap/>
            <w:vAlign w:val="center"/>
            <w:hideMark/>
          </w:tcPr>
          <w:p w:rsidR="00AB7E1B" w:rsidRPr="00AB7E1B" w:rsidRDefault="00AB7E1B" w:rsidP="00AB7E1B">
            <w:pPr>
              <w:rPr>
                <w:rFonts w:ascii="Arial" w:hAnsi="Arial" w:cs="Arial"/>
                <w:sz w:val="20"/>
                <w:szCs w:val="20"/>
              </w:rPr>
            </w:pPr>
            <w:r w:rsidRPr="00AB7E1B">
              <w:rPr>
                <w:rFonts w:ascii="Arial" w:hAnsi="Arial" w:cs="Arial"/>
                <w:sz w:val="20"/>
                <w:szCs w:val="20"/>
              </w:rPr>
              <w:t>Setiembre</w:t>
            </w:r>
          </w:p>
        </w:tc>
        <w:tc>
          <w:tcPr>
            <w:tcW w:w="2780" w:type="dxa"/>
            <w:tcBorders>
              <w:top w:val="nil"/>
              <w:left w:val="nil"/>
              <w:bottom w:val="nil"/>
              <w:right w:val="nil"/>
            </w:tcBorders>
            <w:shd w:val="clear" w:color="000000" w:fill="FFFFFF"/>
            <w:noWrap/>
            <w:vAlign w:val="center"/>
            <w:hideMark/>
          </w:tcPr>
          <w:p w:rsidR="00AB7E1B" w:rsidRPr="00AB7E1B" w:rsidRDefault="00AB7E1B" w:rsidP="00AB7E1B">
            <w:pPr>
              <w:jc w:val="center"/>
              <w:rPr>
                <w:rFonts w:ascii="Arial" w:hAnsi="Arial" w:cs="Arial"/>
                <w:sz w:val="20"/>
                <w:szCs w:val="20"/>
              </w:rPr>
            </w:pPr>
            <w:r w:rsidRPr="00AB7E1B">
              <w:rPr>
                <w:rFonts w:ascii="Arial" w:hAnsi="Arial" w:cs="Arial"/>
                <w:sz w:val="20"/>
                <w:szCs w:val="20"/>
              </w:rPr>
              <w:t>35.26</w:t>
            </w:r>
          </w:p>
          <w:p w:rsidR="00AB7E1B" w:rsidRPr="00AB7E1B" w:rsidRDefault="00AB7E1B" w:rsidP="00AB7E1B">
            <w:pPr>
              <w:jc w:val="center"/>
              <w:rPr>
                <w:rFonts w:ascii="Arial" w:hAnsi="Arial" w:cs="Arial"/>
                <w:sz w:val="20"/>
                <w:szCs w:val="20"/>
              </w:rPr>
            </w:pPr>
          </w:p>
        </w:tc>
      </w:tr>
      <w:tr w:rsidR="00AB7E1B" w:rsidRPr="00AB7E1B" w:rsidTr="00AB7E1B">
        <w:trPr>
          <w:trHeight w:val="353"/>
        </w:trPr>
        <w:tc>
          <w:tcPr>
            <w:tcW w:w="585" w:type="dxa"/>
            <w:vMerge/>
            <w:tcBorders>
              <w:top w:val="nil"/>
              <w:left w:val="nil"/>
              <w:bottom w:val="single" w:sz="8" w:space="0" w:color="000000"/>
              <w:right w:val="nil"/>
            </w:tcBorders>
            <w:vAlign w:val="center"/>
            <w:hideMark/>
          </w:tcPr>
          <w:p w:rsidR="00AB7E1B" w:rsidRPr="00AB7E1B" w:rsidRDefault="00AB7E1B" w:rsidP="00AB7E1B">
            <w:pPr>
              <w:rPr>
                <w:rFonts w:ascii="Arial" w:hAnsi="Arial" w:cs="Arial"/>
                <w:b/>
                <w:bCs/>
                <w:sz w:val="20"/>
                <w:szCs w:val="20"/>
              </w:rPr>
            </w:pPr>
          </w:p>
        </w:tc>
        <w:tc>
          <w:tcPr>
            <w:tcW w:w="1164" w:type="dxa"/>
            <w:tcBorders>
              <w:top w:val="nil"/>
              <w:left w:val="nil"/>
              <w:bottom w:val="nil"/>
              <w:right w:val="nil"/>
            </w:tcBorders>
            <w:shd w:val="clear" w:color="000000" w:fill="FFFFFF"/>
            <w:noWrap/>
            <w:vAlign w:val="center"/>
            <w:hideMark/>
          </w:tcPr>
          <w:p w:rsidR="00AB7E1B" w:rsidRPr="00AB7E1B" w:rsidRDefault="00AB7E1B" w:rsidP="00AB7E1B">
            <w:pPr>
              <w:rPr>
                <w:rFonts w:ascii="Arial" w:hAnsi="Arial" w:cs="Arial"/>
                <w:sz w:val="20"/>
                <w:szCs w:val="20"/>
              </w:rPr>
            </w:pPr>
            <w:r w:rsidRPr="00AB7E1B">
              <w:rPr>
                <w:rFonts w:ascii="Arial" w:hAnsi="Arial" w:cs="Arial"/>
                <w:sz w:val="20"/>
                <w:szCs w:val="20"/>
              </w:rPr>
              <w:t>Octubre</w:t>
            </w:r>
          </w:p>
        </w:tc>
        <w:tc>
          <w:tcPr>
            <w:tcW w:w="2780" w:type="dxa"/>
            <w:tcBorders>
              <w:top w:val="nil"/>
              <w:left w:val="nil"/>
              <w:bottom w:val="nil"/>
              <w:right w:val="nil"/>
            </w:tcBorders>
            <w:shd w:val="clear" w:color="000000" w:fill="FFFFFF"/>
            <w:noWrap/>
            <w:vAlign w:val="center"/>
            <w:hideMark/>
          </w:tcPr>
          <w:p w:rsidR="00AB7E1B" w:rsidRPr="00AB7E1B" w:rsidRDefault="00AB7E1B" w:rsidP="00AB7E1B">
            <w:pPr>
              <w:jc w:val="center"/>
              <w:rPr>
                <w:rFonts w:ascii="Arial" w:hAnsi="Arial" w:cs="Arial"/>
                <w:sz w:val="20"/>
                <w:szCs w:val="20"/>
              </w:rPr>
            </w:pPr>
            <w:r w:rsidRPr="00AB7E1B">
              <w:rPr>
                <w:rFonts w:ascii="Arial" w:hAnsi="Arial" w:cs="Arial"/>
                <w:sz w:val="20"/>
                <w:szCs w:val="20"/>
              </w:rPr>
              <w:t>35.30</w:t>
            </w:r>
          </w:p>
        </w:tc>
      </w:tr>
      <w:tr w:rsidR="00AB7E1B" w:rsidRPr="00AB7E1B" w:rsidTr="00AB7E1B">
        <w:trPr>
          <w:trHeight w:val="353"/>
        </w:trPr>
        <w:tc>
          <w:tcPr>
            <w:tcW w:w="585" w:type="dxa"/>
            <w:vMerge/>
            <w:tcBorders>
              <w:top w:val="nil"/>
              <w:left w:val="nil"/>
              <w:bottom w:val="single" w:sz="8" w:space="0" w:color="000000"/>
              <w:right w:val="nil"/>
            </w:tcBorders>
            <w:vAlign w:val="center"/>
            <w:hideMark/>
          </w:tcPr>
          <w:p w:rsidR="00AB7E1B" w:rsidRPr="00AB7E1B" w:rsidRDefault="00AB7E1B" w:rsidP="00AB7E1B">
            <w:pPr>
              <w:rPr>
                <w:rFonts w:ascii="Arial" w:hAnsi="Arial" w:cs="Arial"/>
                <w:b/>
                <w:bCs/>
                <w:sz w:val="20"/>
                <w:szCs w:val="20"/>
              </w:rPr>
            </w:pPr>
          </w:p>
        </w:tc>
        <w:tc>
          <w:tcPr>
            <w:tcW w:w="1164" w:type="dxa"/>
            <w:tcBorders>
              <w:top w:val="nil"/>
              <w:left w:val="nil"/>
              <w:bottom w:val="nil"/>
              <w:right w:val="nil"/>
            </w:tcBorders>
            <w:shd w:val="clear" w:color="000000" w:fill="FFFFFF"/>
            <w:noWrap/>
            <w:vAlign w:val="center"/>
            <w:hideMark/>
          </w:tcPr>
          <w:p w:rsidR="00AB7E1B" w:rsidRPr="00AB7E1B" w:rsidRDefault="00AB7E1B" w:rsidP="00AB7E1B">
            <w:pPr>
              <w:rPr>
                <w:rFonts w:ascii="Arial" w:hAnsi="Arial" w:cs="Arial"/>
                <w:sz w:val="20"/>
                <w:szCs w:val="20"/>
              </w:rPr>
            </w:pPr>
            <w:r w:rsidRPr="00AB7E1B">
              <w:rPr>
                <w:rFonts w:ascii="Arial" w:hAnsi="Arial" w:cs="Arial"/>
                <w:sz w:val="20"/>
                <w:szCs w:val="20"/>
              </w:rPr>
              <w:t>Noviembre</w:t>
            </w:r>
          </w:p>
        </w:tc>
        <w:tc>
          <w:tcPr>
            <w:tcW w:w="2780" w:type="dxa"/>
            <w:tcBorders>
              <w:top w:val="nil"/>
              <w:left w:val="nil"/>
              <w:bottom w:val="nil"/>
              <w:right w:val="nil"/>
            </w:tcBorders>
            <w:shd w:val="clear" w:color="000000" w:fill="FFFFFF"/>
            <w:noWrap/>
            <w:vAlign w:val="center"/>
            <w:hideMark/>
          </w:tcPr>
          <w:p w:rsidR="00AB7E1B" w:rsidRPr="00AB7E1B" w:rsidRDefault="00AB7E1B" w:rsidP="00AB7E1B">
            <w:pPr>
              <w:jc w:val="center"/>
              <w:rPr>
                <w:rFonts w:ascii="Arial" w:hAnsi="Arial" w:cs="Arial"/>
                <w:sz w:val="20"/>
                <w:szCs w:val="20"/>
              </w:rPr>
            </w:pPr>
            <w:r w:rsidRPr="00AB7E1B">
              <w:rPr>
                <w:rFonts w:ascii="Arial" w:hAnsi="Arial" w:cs="Arial"/>
                <w:sz w:val="20"/>
                <w:szCs w:val="20"/>
              </w:rPr>
              <w:t>35.44</w:t>
            </w:r>
          </w:p>
        </w:tc>
      </w:tr>
      <w:tr w:rsidR="00AB7E1B" w:rsidRPr="00AB7E1B" w:rsidTr="00AB7E1B">
        <w:trPr>
          <w:trHeight w:val="353"/>
        </w:trPr>
        <w:tc>
          <w:tcPr>
            <w:tcW w:w="585" w:type="dxa"/>
            <w:vMerge/>
            <w:tcBorders>
              <w:top w:val="nil"/>
              <w:left w:val="nil"/>
              <w:bottom w:val="single" w:sz="8" w:space="0" w:color="000000"/>
              <w:right w:val="nil"/>
            </w:tcBorders>
            <w:vAlign w:val="center"/>
            <w:hideMark/>
          </w:tcPr>
          <w:p w:rsidR="00AB7E1B" w:rsidRPr="00AB7E1B" w:rsidRDefault="00AB7E1B" w:rsidP="00AB7E1B">
            <w:pPr>
              <w:rPr>
                <w:rFonts w:ascii="Arial" w:hAnsi="Arial" w:cs="Arial"/>
                <w:b/>
                <w:bCs/>
                <w:sz w:val="20"/>
                <w:szCs w:val="20"/>
              </w:rPr>
            </w:pPr>
          </w:p>
        </w:tc>
        <w:tc>
          <w:tcPr>
            <w:tcW w:w="1164" w:type="dxa"/>
            <w:tcBorders>
              <w:top w:val="nil"/>
              <w:left w:val="nil"/>
              <w:bottom w:val="single" w:sz="8" w:space="0" w:color="auto"/>
              <w:right w:val="nil"/>
            </w:tcBorders>
            <w:shd w:val="clear" w:color="000000" w:fill="FFFFFF"/>
            <w:noWrap/>
            <w:vAlign w:val="center"/>
            <w:hideMark/>
          </w:tcPr>
          <w:p w:rsidR="00AB7E1B" w:rsidRPr="00AB7E1B" w:rsidRDefault="00AB7E1B" w:rsidP="00AB7E1B">
            <w:pPr>
              <w:rPr>
                <w:rFonts w:ascii="Arial" w:hAnsi="Arial" w:cs="Arial"/>
                <w:sz w:val="20"/>
                <w:szCs w:val="20"/>
              </w:rPr>
            </w:pPr>
            <w:r w:rsidRPr="00AB7E1B">
              <w:rPr>
                <w:rFonts w:ascii="Arial" w:hAnsi="Arial" w:cs="Arial"/>
                <w:sz w:val="20"/>
                <w:szCs w:val="20"/>
              </w:rPr>
              <w:t>Diciembre</w:t>
            </w:r>
          </w:p>
        </w:tc>
        <w:tc>
          <w:tcPr>
            <w:tcW w:w="2780" w:type="dxa"/>
            <w:tcBorders>
              <w:top w:val="nil"/>
              <w:left w:val="nil"/>
              <w:bottom w:val="single" w:sz="8" w:space="0" w:color="auto"/>
              <w:right w:val="nil"/>
            </w:tcBorders>
            <w:shd w:val="clear" w:color="000000" w:fill="FFFFFF"/>
            <w:noWrap/>
            <w:vAlign w:val="center"/>
            <w:hideMark/>
          </w:tcPr>
          <w:p w:rsidR="00AB7E1B" w:rsidRPr="00AB7E1B" w:rsidRDefault="00AB7E1B" w:rsidP="00AB7E1B">
            <w:pPr>
              <w:jc w:val="center"/>
              <w:rPr>
                <w:rFonts w:ascii="Arial" w:hAnsi="Arial" w:cs="Arial"/>
                <w:sz w:val="20"/>
                <w:szCs w:val="20"/>
              </w:rPr>
            </w:pPr>
            <w:r w:rsidRPr="00AB7E1B">
              <w:rPr>
                <w:rFonts w:ascii="Arial" w:hAnsi="Arial" w:cs="Arial"/>
                <w:sz w:val="20"/>
                <w:szCs w:val="20"/>
              </w:rPr>
              <w:t>35.35</w:t>
            </w:r>
          </w:p>
        </w:tc>
      </w:tr>
      <w:tr w:rsidR="00AB7E1B" w:rsidRPr="00AB7E1B" w:rsidTr="00AB7E1B">
        <w:trPr>
          <w:trHeight w:val="250"/>
        </w:trPr>
        <w:tc>
          <w:tcPr>
            <w:tcW w:w="1749" w:type="dxa"/>
            <w:gridSpan w:val="2"/>
            <w:tcBorders>
              <w:top w:val="nil"/>
              <w:left w:val="nil"/>
              <w:bottom w:val="nil"/>
              <w:right w:val="nil"/>
            </w:tcBorders>
            <w:shd w:val="clear" w:color="000000" w:fill="FFFFFF"/>
            <w:noWrap/>
            <w:vAlign w:val="bottom"/>
            <w:hideMark/>
          </w:tcPr>
          <w:p w:rsidR="00AB7E1B" w:rsidRPr="00AB7E1B" w:rsidRDefault="00AB7E1B" w:rsidP="00AB7E1B">
            <w:pPr>
              <w:rPr>
                <w:rFonts w:ascii="Arial" w:hAnsi="Arial" w:cs="Arial"/>
                <w:sz w:val="20"/>
                <w:szCs w:val="20"/>
              </w:rPr>
            </w:pPr>
            <w:r w:rsidRPr="00AB7E1B">
              <w:rPr>
                <w:rFonts w:ascii="Arial" w:hAnsi="Arial" w:cs="Arial"/>
                <w:sz w:val="20"/>
                <w:szCs w:val="20"/>
              </w:rPr>
              <w:t>Fuente: INEI- DTIE-DEIPRE.</w:t>
            </w:r>
          </w:p>
        </w:tc>
        <w:tc>
          <w:tcPr>
            <w:tcW w:w="2780" w:type="dxa"/>
            <w:tcBorders>
              <w:top w:val="nil"/>
              <w:left w:val="nil"/>
              <w:bottom w:val="nil"/>
              <w:right w:val="nil"/>
            </w:tcBorders>
            <w:shd w:val="clear" w:color="000000" w:fill="FFFFFF"/>
            <w:noWrap/>
            <w:vAlign w:val="bottom"/>
            <w:hideMark/>
          </w:tcPr>
          <w:p w:rsidR="00AB7E1B" w:rsidRPr="00AB7E1B" w:rsidRDefault="00AB7E1B" w:rsidP="00AB7E1B">
            <w:pPr>
              <w:rPr>
                <w:rFonts w:ascii="Arial" w:hAnsi="Arial" w:cs="Arial"/>
                <w:sz w:val="20"/>
                <w:szCs w:val="20"/>
              </w:rPr>
            </w:pPr>
            <w:r w:rsidRPr="00AB7E1B">
              <w:rPr>
                <w:rFonts w:ascii="Arial" w:hAnsi="Arial" w:cs="Arial"/>
                <w:sz w:val="20"/>
                <w:szCs w:val="20"/>
              </w:rPr>
              <w:t> </w:t>
            </w:r>
          </w:p>
        </w:tc>
      </w:tr>
    </w:tbl>
    <w:p w:rsidR="006C1DEC" w:rsidRPr="00AB7E1B" w:rsidRDefault="006C1DEC" w:rsidP="006C1DEC">
      <w:pPr>
        <w:contextualSpacing/>
        <w:jc w:val="both"/>
        <w:rPr>
          <w:rFonts w:ascii="Tahoma" w:hAnsi="Tahoma" w:cs="Tahoma"/>
          <w:sz w:val="20"/>
          <w:szCs w:val="20"/>
        </w:rPr>
      </w:pPr>
    </w:p>
    <w:p w:rsidR="006C1DEC" w:rsidRPr="00AB7E1B" w:rsidRDefault="006C1DEC" w:rsidP="006C1DEC">
      <w:pPr>
        <w:contextualSpacing/>
        <w:jc w:val="both"/>
        <w:rPr>
          <w:rFonts w:ascii="Tahoma" w:hAnsi="Tahoma" w:cs="Tahoma"/>
          <w:sz w:val="20"/>
          <w:szCs w:val="20"/>
        </w:rPr>
      </w:pPr>
    </w:p>
    <w:p w:rsidR="006C1DEC" w:rsidRPr="00AB7E1B" w:rsidRDefault="006C1DEC" w:rsidP="006C1DEC">
      <w:pPr>
        <w:contextualSpacing/>
        <w:jc w:val="both"/>
        <w:rPr>
          <w:rFonts w:ascii="Tahoma" w:hAnsi="Tahoma" w:cs="Tahoma"/>
          <w:sz w:val="20"/>
          <w:szCs w:val="20"/>
        </w:rPr>
      </w:pPr>
      <w:r w:rsidRPr="00AB7E1B">
        <w:rPr>
          <w:rFonts w:ascii="Tahoma" w:hAnsi="Tahoma" w:cs="Tahoma"/>
          <w:sz w:val="20"/>
          <w:szCs w:val="20"/>
        </w:rPr>
        <w:t xml:space="preserve"> </w:t>
      </w:r>
    </w:p>
    <w:p w:rsidR="005447E7" w:rsidRPr="00AB7E1B" w:rsidRDefault="005447E7" w:rsidP="006C1DEC">
      <w:pPr>
        <w:contextualSpacing/>
        <w:jc w:val="both"/>
        <w:rPr>
          <w:rFonts w:ascii="Tahoma" w:hAnsi="Tahoma" w:cs="Tahoma"/>
          <w:sz w:val="20"/>
          <w:szCs w:val="20"/>
        </w:rPr>
      </w:pPr>
    </w:p>
    <w:p w:rsidR="006C1DEC" w:rsidRPr="00AB7E1B" w:rsidRDefault="006C1DEC" w:rsidP="006C1DEC">
      <w:pPr>
        <w:contextualSpacing/>
        <w:jc w:val="both"/>
        <w:rPr>
          <w:rFonts w:ascii="Tahoma" w:hAnsi="Tahoma" w:cs="Tahoma"/>
          <w:b/>
          <w:shadow/>
          <w:sz w:val="20"/>
          <w:szCs w:val="20"/>
        </w:rPr>
      </w:pPr>
    </w:p>
    <w:p w:rsidR="005447E7" w:rsidRPr="00AB7E1B" w:rsidRDefault="005447E7" w:rsidP="006C1DEC">
      <w:pPr>
        <w:contextualSpacing/>
        <w:jc w:val="both"/>
        <w:rPr>
          <w:rFonts w:ascii="Tahoma" w:hAnsi="Tahoma" w:cs="Tahoma"/>
          <w:b/>
          <w:shadow/>
          <w:sz w:val="20"/>
          <w:szCs w:val="20"/>
        </w:rPr>
      </w:pPr>
    </w:p>
    <w:p w:rsidR="005447E7" w:rsidRPr="00AB7E1B" w:rsidRDefault="005447E7" w:rsidP="006C1DEC">
      <w:pPr>
        <w:contextualSpacing/>
        <w:jc w:val="both"/>
        <w:rPr>
          <w:rFonts w:ascii="Tahoma" w:hAnsi="Tahoma" w:cs="Tahoma"/>
          <w:b/>
          <w:shadow/>
          <w:sz w:val="20"/>
          <w:szCs w:val="20"/>
        </w:rPr>
      </w:pPr>
    </w:p>
    <w:p w:rsidR="005447E7" w:rsidRPr="00AB7E1B" w:rsidRDefault="005447E7" w:rsidP="006C1DEC">
      <w:pPr>
        <w:contextualSpacing/>
        <w:jc w:val="both"/>
        <w:rPr>
          <w:rFonts w:ascii="Tahoma" w:hAnsi="Tahoma" w:cs="Tahoma"/>
          <w:b/>
          <w:shadow/>
          <w:sz w:val="20"/>
          <w:szCs w:val="20"/>
        </w:rPr>
      </w:pPr>
    </w:p>
    <w:p w:rsidR="005447E7" w:rsidRPr="00AB7E1B" w:rsidRDefault="005447E7" w:rsidP="006C1DEC">
      <w:pPr>
        <w:contextualSpacing/>
        <w:jc w:val="both"/>
        <w:rPr>
          <w:rFonts w:ascii="Tahoma" w:hAnsi="Tahoma" w:cs="Tahoma"/>
          <w:b/>
          <w:shadow/>
          <w:sz w:val="20"/>
          <w:szCs w:val="20"/>
        </w:rPr>
      </w:pPr>
    </w:p>
    <w:p w:rsidR="005447E7" w:rsidRPr="00AB7E1B" w:rsidRDefault="005447E7" w:rsidP="006C1DEC">
      <w:pPr>
        <w:contextualSpacing/>
        <w:jc w:val="both"/>
        <w:rPr>
          <w:rFonts w:ascii="Tahoma" w:hAnsi="Tahoma" w:cs="Tahoma"/>
          <w:b/>
          <w:shadow/>
          <w:sz w:val="20"/>
          <w:szCs w:val="20"/>
        </w:rPr>
      </w:pPr>
    </w:p>
    <w:p w:rsidR="005447E7" w:rsidRPr="00AB7E1B" w:rsidRDefault="005447E7" w:rsidP="006C1DEC">
      <w:pPr>
        <w:contextualSpacing/>
        <w:jc w:val="both"/>
        <w:rPr>
          <w:rFonts w:ascii="Tahoma" w:hAnsi="Tahoma" w:cs="Tahoma"/>
          <w:b/>
          <w:shadow/>
          <w:sz w:val="20"/>
          <w:szCs w:val="20"/>
        </w:rPr>
      </w:pPr>
    </w:p>
    <w:p w:rsidR="00AB7E1B" w:rsidRDefault="00AB7E1B" w:rsidP="00AB7E1B">
      <w:pPr>
        <w:contextualSpacing/>
        <w:jc w:val="both"/>
        <w:rPr>
          <w:rFonts w:ascii="Tahoma" w:hAnsi="Tahoma" w:cs="Tahoma"/>
          <w:b/>
          <w:shadow/>
          <w:sz w:val="20"/>
        </w:rPr>
      </w:pPr>
    </w:p>
    <w:p w:rsidR="00AB7E1B" w:rsidRDefault="00AB7E1B" w:rsidP="00AB7E1B">
      <w:pPr>
        <w:contextualSpacing/>
        <w:jc w:val="both"/>
        <w:rPr>
          <w:rFonts w:ascii="Tahoma" w:hAnsi="Tahoma" w:cs="Tahoma"/>
          <w:b/>
          <w:shadow/>
          <w:sz w:val="20"/>
        </w:rPr>
      </w:pPr>
    </w:p>
    <w:p w:rsidR="00AB7E1B" w:rsidRDefault="00AB7E1B" w:rsidP="00AB7E1B">
      <w:pPr>
        <w:contextualSpacing/>
        <w:jc w:val="both"/>
        <w:rPr>
          <w:rFonts w:ascii="Tahoma" w:hAnsi="Tahoma" w:cs="Tahoma"/>
          <w:b/>
          <w:shadow/>
          <w:sz w:val="20"/>
        </w:rPr>
      </w:pPr>
    </w:p>
    <w:p w:rsidR="00AB7E1B" w:rsidRDefault="00AB7E1B" w:rsidP="00AB7E1B">
      <w:pPr>
        <w:contextualSpacing/>
        <w:jc w:val="both"/>
        <w:rPr>
          <w:rFonts w:ascii="Tahoma" w:hAnsi="Tahoma" w:cs="Tahoma"/>
          <w:b/>
          <w:shadow/>
          <w:sz w:val="20"/>
        </w:rPr>
      </w:pPr>
    </w:p>
    <w:p w:rsidR="00AB7E1B" w:rsidRDefault="00AB7E1B" w:rsidP="00AB7E1B">
      <w:pPr>
        <w:contextualSpacing/>
        <w:jc w:val="both"/>
        <w:rPr>
          <w:rFonts w:ascii="Tahoma" w:hAnsi="Tahoma" w:cs="Tahoma"/>
          <w:b/>
          <w:shadow/>
          <w:sz w:val="20"/>
        </w:rPr>
      </w:pPr>
    </w:p>
    <w:p w:rsidR="00AB7E1B" w:rsidRDefault="00AB7E1B" w:rsidP="00AB7E1B">
      <w:pPr>
        <w:contextualSpacing/>
        <w:jc w:val="both"/>
        <w:rPr>
          <w:rFonts w:ascii="Tahoma" w:hAnsi="Tahoma" w:cs="Tahoma"/>
          <w:b/>
          <w:shadow/>
          <w:sz w:val="20"/>
        </w:rPr>
      </w:pPr>
    </w:p>
    <w:p w:rsidR="00AB7E1B" w:rsidRDefault="00AB7E1B" w:rsidP="00AB7E1B">
      <w:pPr>
        <w:contextualSpacing/>
        <w:jc w:val="both"/>
        <w:rPr>
          <w:rFonts w:ascii="Tahoma" w:hAnsi="Tahoma" w:cs="Tahoma"/>
          <w:b/>
          <w:shadow/>
          <w:sz w:val="20"/>
        </w:rPr>
      </w:pPr>
    </w:p>
    <w:p w:rsidR="00AB7E1B" w:rsidRDefault="00AB7E1B" w:rsidP="00AB7E1B">
      <w:pPr>
        <w:contextualSpacing/>
        <w:jc w:val="both"/>
        <w:rPr>
          <w:rFonts w:ascii="Tahoma" w:hAnsi="Tahoma" w:cs="Tahoma"/>
          <w:b/>
          <w:shadow/>
          <w:sz w:val="20"/>
        </w:rPr>
      </w:pPr>
    </w:p>
    <w:p w:rsidR="00AB7E1B" w:rsidRDefault="00AB7E1B" w:rsidP="00AB7E1B">
      <w:pPr>
        <w:contextualSpacing/>
        <w:jc w:val="both"/>
        <w:rPr>
          <w:rFonts w:ascii="Tahoma" w:hAnsi="Tahoma" w:cs="Tahoma"/>
          <w:b/>
          <w:shadow/>
          <w:sz w:val="20"/>
        </w:rPr>
      </w:pPr>
    </w:p>
    <w:p w:rsidR="00AB7E1B" w:rsidRDefault="00AB7E1B" w:rsidP="00AB7E1B">
      <w:pPr>
        <w:contextualSpacing/>
        <w:jc w:val="both"/>
        <w:rPr>
          <w:rFonts w:ascii="Tahoma" w:hAnsi="Tahoma" w:cs="Tahoma"/>
          <w:b/>
          <w:shadow/>
          <w:sz w:val="20"/>
        </w:rPr>
      </w:pPr>
    </w:p>
    <w:p w:rsidR="00AB7E1B" w:rsidRDefault="00AB7E1B" w:rsidP="00AB7E1B">
      <w:pPr>
        <w:contextualSpacing/>
        <w:jc w:val="both"/>
        <w:rPr>
          <w:rFonts w:ascii="Tahoma" w:hAnsi="Tahoma" w:cs="Tahoma"/>
          <w:b/>
          <w:shadow/>
          <w:sz w:val="20"/>
        </w:rPr>
      </w:pPr>
    </w:p>
    <w:p w:rsidR="00AB7E1B" w:rsidRDefault="00AB7E1B" w:rsidP="00AB7E1B">
      <w:pPr>
        <w:contextualSpacing/>
        <w:jc w:val="both"/>
        <w:rPr>
          <w:rFonts w:ascii="Tahoma" w:hAnsi="Tahoma" w:cs="Tahoma"/>
          <w:b/>
          <w:shadow/>
          <w:sz w:val="20"/>
        </w:rPr>
      </w:pPr>
    </w:p>
    <w:p w:rsidR="00AB7E1B" w:rsidRDefault="00AB7E1B" w:rsidP="00AB7E1B">
      <w:pPr>
        <w:contextualSpacing/>
        <w:jc w:val="both"/>
        <w:rPr>
          <w:rFonts w:ascii="Tahoma" w:hAnsi="Tahoma" w:cs="Tahoma"/>
          <w:b/>
          <w:shadow/>
          <w:sz w:val="20"/>
        </w:rPr>
      </w:pPr>
    </w:p>
    <w:p w:rsidR="00AB7E1B" w:rsidRDefault="00AB7E1B" w:rsidP="00AB7E1B">
      <w:pPr>
        <w:contextualSpacing/>
        <w:jc w:val="both"/>
        <w:rPr>
          <w:rFonts w:ascii="Tahoma" w:hAnsi="Tahoma" w:cs="Tahoma"/>
          <w:b/>
          <w:shadow/>
          <w:sz w:val="20"/>
        </w:rPr>
      </w:pPr>
    </w:p>
    <w:p w:rsidR="00AB7E1B" w:rsidRDefault="00AB7E1B" w:rsidP="00AB7E1B">
      <w:pPr>
        <w:contextualSpacing/>
        <w:jc w:val="both"/>
        <w:rPr>
          <w:rFonts w:ascii="Tahoma" w:hAnsi="Tahoma" w:cs="Tahoma"/>
          <w:b/>
          <w:shadow/>
          <w:sz w:val="20"/>
        </w:rPr>
      </w:pPr>
    </w:p>
    <w:p w:rsidR="00AB7E1B" w:rsidRDefault="00AB7E1B" w:rsidP="00AB7E1B">
      <w:pPr>
        <w:contextualSpacing/>
        <w:jc w:val="both"/>
        <w:rPr>
          <w:rFonts w:ascii="Tahoma" w:hAnsi="Tahoma" w:cs="Tahoma"/>
          <w:b/>
          <w:shadow/>
          <w:sz w:val="20"/>
        </w:rPr>
      </w:pPr>
    </w:p>
    <w:p w:rsidR="00AB7E1B" w:rsidRDefault="00AB7E1B" w:rsidP="00AB7E1B">
      <w:pPr>
        <w:contextualSpacing/>
        <w:jc w:val="both"/>
        <w:rPr>
          <w:rFonts w:ascii="Tahoma" w:hAnsi="Tahoma" w:cs="Tahoma"/>
          <w:b/>
          <w:shadow/>
          <w:sz w:val="20"/>
        </w:rPr>
      </w:pPr>
    </w:p>
    <w:p w:rsidR="00AB7E1B" w:rsidRDefault="00AB7E1B" w:rsidP="00AB7E1B">
      <w:pPr>
        <w:contextualSpacing/>
        <w:jc w:val="both"/>
        <w:rPr>
          <w:rFonts w:ascii="Tahoma" w:hAnsi="Tahoma" w:cs="Tahoma"/>
          <w:b/>
          <w:shadow/>
          <w:sz w:val="20"/>
        </w:rPr>
      </w:pPr>
    </w:p>
    <w:p w:rsidR="00AB7E1B" w:rsidRDefault="00AB7E1B" w:rsidP="00AB7E1B">
      <w:pPr>
        <w:contextualSpacing/>
        <w:jc w:val="both"/>
        <w:rPr>
          <w:rFonts w:ascii="Tahoma" w:hAnsi="Tahoma" w:cs="Tahoma"/>
          <w:b/>
          <w:shadow/>
          <w:sz w:val="20"/>
        </w:rPr>
      </w:pPr>
    </w:p>
    <w:p w:rsidR="00AB7E1B" w:rsidRDefault="00AB7E1B" w:rsidP="00AB7E1B">
      <w:pPr>
        <w:contextualSpacing/>
        <w:jc w:val="both"/>
        <w:rPr>
          <w:rFonts w:ascii="Tahoma" w:hAnsi="Tahoma" w:cs="Tahoma"/>
          <w:b/>
          <w:shadow/>
          <w:sz w:val="20"/>
        </w:rPr>
      </w:pPr>
    </w:p>
    <w:p w:rsidR="00AB7E1B" w:rsidRPr="00AB7E1B" w:rsidRDefault="00AB7E1B" w:rsidP="00AB7E1B">
      <w:pPr>
        <w:contextualSpacing/>
        <w:jc w:val="both"/>
        <w:rPr>
          <w:rFonts w:ascii="Tahoma" w:hAnsi="Tahoma" w:cs="Tahoma"/>
          <w:b/>
          <w:shadow/>
          <w:sz w:val="20"/>
        </w:rPr>
      </w:pPr>
    </w:p>
    <w:p w:rsidR="006C1DEC" w:rsidRPr="00AB7E1B" w:rsidRDefault="006C1DEC" w:rsidP="00AB7E1B">
      <w:pPr>
        <w:pStyle w:val="Prrafodelista"/>
        <w:widowControl/>
        <w:numPr>
          <w:ilvl w:val="0"/>
          <w:numId w:val="1"/>
        </w:numPr>
        <w:suppressAutoHyphens w:val="0"/>
        <w:ind w:left="567" w:hanging="567"/>
        <w:contextualSpacing/>
        <w:jc w:val="both"/>
        <w:rPr>
          <w:rFonts w:ascii="Tahoma" w:hAnsi="Tahoma" w:cs="Tahoma"/>
          <w:b/>
          <w:shadow/>
          <w:sz w:val="20"/>
        </w:rPr>
      </w:pPr>
      <w:r w:rsidRPr="00AB7E1B">
        <w:rPr>
          <w:rFonts w:ascii="Tahoma" w:hAnsi="Tahoma" w:cs="Tahoma"/>
          <w:sz w:val="20"/>
        </w:rPr>
        <w:t>El 8 de junio de 2011, por inasistencia de las partes, no se llevó a cabo la audiencia pública programada.</w:t>
      </w:r>
    </w:p>
    <w:p w:rsidR="00AB7E1B" w:rsidRDefault="00AB7E1B" w:rsidP="00AB7E1B">
      <w:pPr>
        <w:contextualSpacing/>
        <w:jc w:val="both"/>
        <w:rPr>
          <w:rFonts w:ascii="Tahoma" w:hAnsi="Tahoma" w:cs="Tahoma"/>
          <w:b/>
          <w:shadow/>
          <w:sz w:val="20"/>
          <w:szCs w:val="20"/>
          <w:lang w:val="es-ES_tradnl"/>
        </w:rPr>
      </w:pPr>
    </w:p>
    <w:p w:rsidR="00AB7E1B" w:rsidRDefault="00AB7E1B" w:rsidP="00AB7E1B">
      <w:pPr>
        <w:contextualSpacing/>
        <w:jc w:val="both"/>
        <w:rPr>
          <w:rFonts w:ascii="Tahoma" w:hAnsi="Tahoma" w:cs="Tahoma"/>
          <w:b/>
          <w:shadow/>
          <w:sz w:val="20"/>
          <w:szCs w:val="20"/>
          <w:lang w:val="es-ES_tradnl"/>
        </w:rPr>
      </w:pPr>
    </w:p>
    <w:p w:rsidR="00AB7E1B" w:rsidRPr="00486CDB" w:rsidRDefault="00AB7E1B" w:rsidP="00486CDB">
      <w:pPr>
        <w:contextualSpacing/>
        <w:jc w:val="both"/>
        <w:rPr>
          <w:rFonts w:ascii="Tahoma" w:hAnsi="Tahoma" w:cs="Tahoma"/>
          <w:b/>
          <w:shadow/>
          <w:sz w:val="20"/>
        </w:rPr>
      </w:pPr>
    </w:p>
    <w:p w:rsidR="005447E7" w:rsidRPr="00AB7E1B" w:rsidRDefault="005447E7" w:rsidP="00AB7E1B">
      <w:pPr>
        <w:pStyle w:val="Prrafodelista"/>
        <w:widowControl/>
        <w:suppressAutoHyphens w:val="0"/>
        <w:ind w:left="567"/>
        <w:jc w:val="both"/>
        <w:rPr>
          <w:rFonts w:ascii="Tahoma" w:hAnsi="Tahoma" w:cs="Tahoma"/>
          <w:b/>
          <w:shadow/>
          <w:sz w:val="20"/>
        </w:rPr>
      </w:pPr>
      <w:r w:rsidRPr="00AB7E1B">
        <w:rPr>
          <w:rFonts w:ascii="Tahoma" w:hAnsi="Tahoma" w:cs="Tahoma"/>
          <w:b/>
          <w:sz w:val="20"/>
        </w:rPr>
        <w:lastRenderedPageBreak/>
        <w:t>FUNDAMENTACION</w:t>
      </w:r>
      <w:r w:rsidRPr="00AB7E1B">
        <w:rPr>
          <w:rFonts w:ascii="Tahoma" w:hAnsi="Tahoma" w:cs="Tahoma"/>
          <w:b/>
          <w:shadow/>
          <w:sz w:val="20"/>
        </w:rPr>
        <w:t>:</w:t>
      </w:r>
    </w:p>
    <w:p w:rsidR="00303435" w:rsidRPr="00AB7E1B" w:rsidRDefault="00303435" w:rsidP="00303435">
      <w:pPr>
        <w:contextualSpacing/>
        <w:jc w:val="both"/>
        <w:rPr>
          <w:rFonts w:ascii="Tahoma" w:hAnsi="Tahoma" w:cs="Tahoma"/>
          <w:b/>
          <w:shadow/>
          <w:sz w:val="20"/>
          <w:szCs w:val="20"/>
        </w:rPr>
      </w:pPr>
    </w:p>
    <w:p w:rsidR="005447E7" w:rsidRPr="00AB7E1B" w:rsidRDefault="005447E7" w:rsidP="005447E7">
      <w:pPr>
        <w:pStyle w:val="Lista3"/>
        <w:numPr>
          <w:ilvl w:val="0"/>
          <w:numId w:val="6"/>
        </w:numPr>
        <w:spacing w:after="0" w:line="240" w:lineRule="auto"/>
        <w:ind w:left="567" w:hanging="567"/>
        <w:jc w:val="both"/>
        <w:rPr>
          <w:rFonts w:ascii="Tahoma" w:hAnsi="Tahoma" w:cs="Tahoma"/>
          <w:sz w:val="20"/>
          <w:szCs w:val="20"/>
        </w:rPr>
      </w:pPr>
      <w:r w:rsidRPr="00AB7E1B">
        <w:rPr>
          <w:rFonts w:ascii="Tahoma" w:hAnsi="Tahoma" w:cs="Tahoma"/>
          <w:sz w:val="20"/>
          <w:szCs w:val="20"/>
          <w:lang w:val="es-ES_tradnl"/>
        </w:rPr>
        <w:t xml:space="preserve">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 </w:t>
      </w:r>
    </w:p>
    <w:p w:rsidR="005447E7" w:rsidRPr="00AB7E1B" w:rsidRDefault="005447E7" w:rsidP="005447E7">
      <w:pPr>
        <w:pStyle w:val="Prrafodelista"/>
        <w:ind w:left="567"/>
        <w:jc w:val="both"/>
        <w:rPr>
          <w:rFonts w:ascii="Tahoma" w:hAnsi="Tahoma" w:cs="Tahoma"/>
          <w:sz w:val="20"/>
        </w:rPr>
      </w:pPr>
    </w:p>
    <w:p w:rsidR="005447E7" w:rsidRPr="00AB7E1B" w:rsidRDefault="005447E7" w:rsidP="005447E7">
      <w:pPr>
        <w:pStyle w:val="Lista3"/>
        <w:numPr>
          <w:ilvl w:val="0"/>
          <w:numId w:val="6"/>
        </w:numPr>
        <w:spacing w:after="0" w:line="240" w:lineRule="auto"/>
        <w:ind w:left="567" w:hanging="567"/>
        <w:jc w:val="both"/>
        <w:rPr>
          <w:rFonts w:ascii="Tahoma" w:hAnsi="Tahoma" w:cs="Tahoma"/>
          <w:sz w:val="20"/>
          <w:szCs w:val="20"/>
        </w:rPr>
      </w:pPr>
      <w:r w:rsidRPr="00AB7E1B">
        <w:rPr>
          <w:rFonts w:ascii="Tahoma" w:hAnsi="Tahoma" w:cs="Tahoma"/>
          <w:sz w:val="20"/>
          <w:szCs w:val="20"/>
        </w:rPr>
        <w:t xml:space="preserve">El presente procedimiento administrativo sancionador ha sido iniciado a consecuencia de la denuncia formulada por la Entidad por la supuesta responsabilidad de la empresa </w:t>
      </w:r>
      <w:r w:rsidRPr="00AB7E1B">
        <w:rPr>
          <w:rFonts w:ascii="Tahoma" w:hAnsi="Tahoma" w:cs="Tahoma"/>
          <w:sz w:val="20"/>
          <w:szCs w:val="20"/>
          <w:lang w:val="es-ES_tradnl"/>
        </w:rPr>
        <w:t xml:space="preserve">J.MAMB EIRL </w:t>
      </w:r>
      <w:r w:rsidRPr="00AB7E1B">
        <w:rPr>
          <w:rFonts w:ascii="Tahoma" w:hAnsi="Tahoma" w:cs="Tahoma"/>
          <w:sz w:val="20"/>
          <w:szCs w:val="20"/>
        </w:rPr>
        <w:t xml:space="preserve">en la resolución del </w:t>
      </w:r>
      <w:r w:rsidR="00163715" w:rsidRPr="00AB7E1B">
        <w:rPr>
          <w:rFonts w:ascii="Tahoma" w:hAnsi="Tahoma" w:cs="Tahoma"/>
          <w:sz w:val="20"/>
          <w:szCs w:val="20"/>
        </w:rPr>
        <w:t>Contrato Nº 006-2010-EP/UO 0834</w:t>
      </w:r>
      <w:r w:rsidR="00163715">
        <w:rPr>
          <w:rFonts w:ascii="Tahoma" w:hAnsi="Tahoma" w:cs="Tahoma"/>
          <w:sz w:val="20"/>
        </w:rPr>
        <w:t>ABSTO/OEC</w:t>
      </w:r>
      <w:r w:rsidRPr="00AB7E1B">
        <w:rPr>
          <w:rFonts w:ascii="Tahoma" w:hAnsi="Tahoma" w:cs="Tahoma"/>
          <w:sz w:val="20"/>
          <w:szCs w:val="20"/>
        </w:rPr>
        <w:t xml:space="preserve">, para “el suministro de arroz superior pilado” en virtud al proceso de Licitación Pública por </w:t>
      </w:r>
      <w:r w:rsidR="00163715">
        <w:rPr>
          <w:rFonts w:ascii="Tahoma" w:hAnsi="Tahoma" w:cs="Tahoma"/>
          <w:sz w:val="20"/>
        </w:rPr>
        <w:t>por Subasta Inversa P</w:t>
      </w:r>
      <w:r w:rsidR="00163715" w:rsidRPr="00AB7E1B">
        <w:rPr>
          <w:rFonts w:ascii="Tahoma" w:hAnsi="Tahoma" w:cs="Tahoma"/>
          <w:sz w:val="20"/>
          <w:szCs w:val="20"/>
        </w:rPr>
        <w:t>resencial Nº 001-2010-EP/UO 0834</w:t>
      </w:r>
      <w:r w:rsidR="00163715">
        <w:rPr>
          <w:rFonts w:ascii="Tahoma" w:hAnsi="Tahoma" w:cs="Tahoma"/>
          <w:sz w:val="20"/>
        </w:rPr>
        <w:t>, ítem Nº 1-Primera Convocatoria</w:t>
      </w:r>
      <w:r w:rsidRPr="00AB7E1B">
        <w:rPr>
          <w:rFonts w:ascii="Tahoma" w:hAnsi="Tahoma" w:cs="Tahoma"/>
          <w:sz w:val="20"/>
          <w:szCs w:val="20"/>
        </w:rPr>
        <w:t xml:space="preserve">, por razón atribuible a su parte, situación que califica como infracción administrativa según la causal de imposición de sanción tipificada en el literal b) del numeral 51.1 del artículo 51 de la Ley de Contrataciones y Adquisiciones del Estado, aprobado por Decreto Legislativo Nº 1017, norma aplicable al presente caso. </w:t>
      </w:r>
    </w:p>
    <w:p w:rsidR="005447E7" w:rsidRPr="00AB7E1B" w:rsidRDefault="005447E7" w:rsidP="005447E7">
      <w:pPr>
        <w:contextualSpacing/>
        <w:jc w:val="both"/>
        <w:rPr>
          <w:rFonts w:ascii="Tahoma" w:hAnsi="Tahoma" w:cs="Tahoma"/>
          <w:sz w:val="20"/>
          <w:szCs w:val="20"/>
        </w:rPr>
      </w:pPr>
    </w:p>
    <w:p w:rsidR="005447E7" w:rsidRPr="00AB7E1B" w:rsidRDefault="005447E7" w:rsidP="005447E7">
      <w:pPr>
        <w:pStyle w:val="Prrafodelista"/>
        <w:widowControl/>
        <w:numPr>
          <w:ilvl w:val="0"/>
          <w:numId w:val="6"/>
        </w:numPr>
        <w:suppressAutoHyphens w:val="0"/>
        <w:ind w:left="567" w:hanging="567"/>
        <w:contextualSpacing/>
        <w:jc w:val="both"/>
        <w:rPr>
          <w:rFonts w:ascii="Tahoma" w:hAnsi="Tahoma" w:cs="Tahoma"/>
          <w:sz w:val="20"/>
        </w:rPr>
      </w:pPr>
      <w:r w:rsidRPr="00AB7E1B">
        <w:rPr>
          <w:rFonts w:ascii="Tahoma" w:hAnsi="Tahoma" w:cs="Tahoma"/>
          <w:sz w:val="20"/>
        </w:rPr>
        <w:t>En tal sentido, el artículo 168º del Reglamento dispone que la Entidad podrá resolver el contrato, de conformidad con el inciso c) del artículo 40º de la Ley cuando el Contratista incumpla injustificadamente las obligaciones contractuales, legales o reglamentarias a su cargo, pese a haber sido requerido para ello.</w:t>
      </w:r>
    </w:p>
    <w:p w:rsidR="005447E7" w:rsidRPr="00AB7E1B" w:rsidRDefault="005447E7" w:rsidP="005447E7">
      <w:pPr>
        <w:pStyle w:val="Prrafodelista"/>
        <w:rPr>
          <w:rFonts w:ascii="Tahoma" w:hAnsi="Tahoma" w:cs="Tahoma"/>
          <w:sz w:val="20"/>
        </w:rPr>
      </w:pPr>
    </w:p>
    <w:p w:rsidR="005447E7" w:rsidRPr="00AB7E1B" w:rsidRDefault="005447E7" w:rsidP="005447E7">
      <w:pPr>
        <w:pStyle w:val="Prrafodelista"/>
        <w:widowControl/>
        <w:numPr>
          <w:ilvl w:val="0"/>
          <w:numId w:val="6"/>
        </w:numPr>
        <w:suppressAutoHyphens w:val="0"/>
        <w:ind w:left="567" w:hanging="567"/>
        <w:contextualSpacing/>
        <w:jc w:val="both"/>
        <w:rPr>
          <w:rFonts w:ascii="Tahoma" w:hAnsi="Tahoma" w:cs="Tahoma"/>
          <w:sz w:val="20"/>
        </w:rPr>
      </w:pPr>
      <w:r w:rsidRPr="00AB7E1B">
        <w:rPr>
          <w:rFonts w:ascii="Tahoma" w:hAnsi="Tahoma" w:cs="Tahoma"/>
          <w:sz w:val="20"/>
        </w:rPr>
        <w:t xml:space="preserve">El procedimiento de resolución contractual, cuya observancia es condición necesaria para evaluar la existencia de eventuales responsabilidades de carácter administrativo, se encuentra previsto en el artículo 169º del precitado Reglamento, según el cual en caso de incumplimiento contractual de una de las partes involucradas, la parte que resulte perjudicada con tal hecho requerirá a la otra notarialmente para que satisfaga sus obligaciones en un plazo no mayor a cinco (05) días, bajo apercibimiento de resolver el contrato, siendo que dependiendo del monto contractual y de la complejidad, envergadura o sofisticación de la contratación, La Entidad puede establecer plazos mayores, pero en ningún caso mayor a quince (15) días, plazo este último que se otorgará necesariamente en el caso de obras. Si vencido dicho plazo el incumplimiento continúa, la parte perjudicada resolverá el contrato en forma total o parcial, comunicando mediante carta notarial, la decisión de resolver el contrato. </w:t>
      </w:r>
    </w:p>
    <w:p w:rsidR="005447E7" w:rsidRPr="00AB7E1B" w:rsidRDefault="005447E7" w:rsidP="005447E7">
      <w:pPr>
        <w:pStyle w:val="Prrafodelista"/>
        <w:rPr>
          <w:rFonts w:ascii="Tahoma" w:hAnsi="Tahoma" w:cs="Tahoma"/>
          <w:b/>
          <w:sz w:val="20"/>
        </w:rPr>
      </w:pPr>
    </w:p>
    <w:p w:rsidR="005447E7" w:rsidRPr="00AB7E1B" w:rsidRDefault="005447E7" w:rsidP="005447E7">
      <w:pPr>
        <w:pStyle w:val="Prrafodelista"/>
        <w:ind w:left="567"/>
        <w:contextualSpacing/>
        <w:jc w:val="both"/>
        <w:rPr>
          <w:rFonts w:ascii="Tahoma" w:hAnsi="Tahoma" w:cs="Tahoma"/>
          <w:sz w:val="20"/>
        </w:rPr>
      </w:pPr>
      <w:r w:rsidRPr="00AB7E1B">
        <w:rPr>
          <w:rFonts w:ascii="Tahoma" w:hAnsi="Tahoma" w:cs="Tahoma"/>
          <w:sz w:val="20"/>
        </w:rPr>
        <w:t>No será necesario efectuar un requerimiento previo cuando la resolución del contrato se deba a la acumulación del monto máximo de penalidad por mora, o por otras penalidades, cuando la situación de incumplimiento no pueda ser revertida. En este caso, bastará comunicar al contratista mediante carta notarial la decisión de resolver el contrato.</w:t>
      </w:r>
    </w:p>
    <w:p w:rsidR="005447E7" w:rsidRPr="00AB7E1B" w:rsidRDefault="005447E7" w:rsidP="005447E7">
      <w:pPr>
        <w:contextualSpacing/>
        <w:jc w:val="both"/>
        <w:rPr>
          <w:rFonts w:ascii="Tahoma" w:hAnsi="Tahoma" w:cs="Tahoma"/>
          <w:sz w:val="20"/>
          <w:szCs w:val="20"/>
        </w:rPr>
      </w:pPr>
    </w:p>
    <w:p w:rsidR="005447E7" w:rsidRPr="00AB7E1B" w:rsidRDefault="005447E7" w:rsidP="005447E7">
      <w:pPr>
        <w:pStyle w:val="Prrafodelista"/>
        <w:widowControl/>
        <w:numPr>
          <w:ilvl w:val="0"/>
          <w:numId w:val="6"/>
        </w:numPr>
        <w:suppressAutoHyphens w:val="0"/>
        <w:ind w:left="567" w:hanging="567"/>
        <w:contextualSpacing/>
        <w:jc w:val="both"/>
        <w:rPr>
          <w:rFonts w:ascii="Tahoma" w:hAnsi="Tahoma" w:cs="Tahoma"/>
          <w:sz w:val="20"/>
        </w:rPr>
      </w:pPr>
      <w:r w:rsidRPr="00AB7E1B">
        <w:rPr>
          <w:rFonts w:ascii="Tahoma" w:hAnsi="Tahoma" w:cs="Tahoma"/>
          <w:sz w:val="20"/>
        </w:rPr>
        <w:t>Al respecto, como primer punto de análisis, corresponde examinar si la Entidad ha cumplido con el procedimiento de resolución del contrato, previsto en los artículos 168º y 169º del Reglamento. De la lectura de las disposiciones glosadas, se concluye que resulta imperativo que la Entidad siga el procedimiento descrito y cumpla con las formalidades previstas en la normativa, ello con la finalidad que la resolución contractual sea válida.</w:t>
      </w:r>
    </w:p>
    <w:p w:rsidR="005447E7" w:rsidRPr="00AB7E1B" w:rsidRDefault="005447E7" w:rsidP="005447E7">
      <w:pPr>
        <w:pStyle w:val="Prrafodelista"/>
        <w:rPr>
          <w:rFonts w:ascii="Tahoma" w:hAnsi="Tahoma" w:cs="Tahoma"/>
          <w:sz w:val="20"/>
        </w:rPr>
      </w:pPr>
    </w:p>
    <w:p w:rsidR="005447E7" w:rsidRPr="00AB7E1B" w:rsidRDefault="005447E7" w:rsidP="005447E7">
      <w:pPr>
        <w:pStyle w:val="Prrafodelista"/>
        <w:widowControl/>
        <w:numPr>
          <w:ilvl w:val="0"/>
          <w:numId w:val="6"/>
        </w:numPr>
        <w:suppressAutoHyphens w:val="0"/>
        <w:ind w:left="567" w:hanging="567"/>
        <w:contextualSpacing/>
        <w:jc w:val="both"/>
        <w:rPr>
          <w:rFonts w:ascii="Tahoma" w:hAnsi="Tahoma" w:cs="Tahoma"/>
          <w:sz w:val="20"/>
        </w:rPr>
      </w:pPr>
      <w:r w:rsidRPr="00AB7E1B">
        <w:rPr>
          <w:rFonts w:ascii="Tahoma" w:hAnsi="Tahoma" w:cs="Tahoma"/>
          <w:sz w:val="20"/>
        </w:rPr>
        <w:t xml:space="preserve">De la información remitida por la Entidad, se ha verificado que, mediante Carta Notarial Nº 22/2010 31º Brig. Inf. OEC de fecha 20 de octubre de 2010, debidamente diligenciada </w:t>
      </w:r>
      <w:r w:rsidRPr="00AB7E1B">
        <w:rPr>
          <w:rFonts w:ascii="Tahoma" w:hAnsi="Tahoma" w:cs="Tahoma"/>
          <w:sz w:val="20"/>
        </w:rPr>
        <w:lastRenderedPageBreak/>
        <w:t>el día 23 de octubre de 2010, la Entidad le requirió al Contratista que en el plazo no mayor a 5 días cumpla con internar los bienes requeridos.</w:t>
      </w:r>
    </w:p>
    <w:p w:rsidR="005447E7" w:rsidRPr="00AB7E1B" w:rsidRDefault="005447E7" w:rsidP="005447E7">
      <w:pPr>
        <w:pStyle w:val="Prrafodelista"/>
        <w:ind w:left="567"/>
        <w:contextualSpacing/>
        <w:jc w:val="both"/>
        <w:rPr>
          <w:rFonts w:ascii="Tahoma" w:hAnsi="Tahoma" w:cs="Tahoma"/>
          <w:sz w:val="20"/>
        </w:rPr>
      </w:pPr>
    </w:p>
    <w:p w:rsidR="005447E7" w:rsidRPr="00AB7E1B" w:rsidRDefault="005447E7" w:rsidP="005447E7">
      <w:pPr>
        <w:pStyle w:val="Prrafodelista"/>
        <w:widowControl/>
        <w:numPr>
          <w:ilvl w:val="0"/>
          <w:numId w:val="6"/>
        </w:numPr>
        <w:suppressAutoHyphens w:val="0"/>
        <w:ind w:left="567" w:hanging="567"/>
        <w:contextualSpacing/>
        <w:jc w:val="both"/>
        <w:rPr>
          <w:rFonts w:ascii="Tahoma" w:hAnsi="Tahoma" w:cs="Tahoma"/>
          <w:sz w:val="20"/>
        </w:rPr>
      </w:pPr>
      <w:r w:rsidRPr="00AB7E1B">
        <w:rPr>
          <w:rFonts w:ascii="Tahoma" w:hAnsi="Tahoma" w:cs="Tahoma"/>
          <w:sz w:val="20"/>
        </w:rPr>
        <w:t xml:space="preserve">Asimismo, mediante Carta Notarial Nº 23/2010 31º Brig. Inf. OEC de fecha 03 de noviembre de 2010, diligenciada notarialmente el 04 de noviembre de 2010, la Entidad comunicó al Contratista la resolución del </w:t>
      </w:r>
      <w:r w:rsidR="00163715" w:rsidRPr="00AB7E1B">
        <w:rPr>
          <w:rFonts w:ascii="Tahoma" w:hAnsi="Tahoma" w:cs="Tahoma"/>
          <w:sz w:val="20"/>
        </w:rPr>
        <w:t>Contrato Nº 006-2010-EP/UO 0834</w:t>
      </w:r>
      <w:r w:rsidR="00163715">
        <w:rPr>
          <w:rFonts w:ascii="Tahoma" w:hAnsi="Tahoma" w:cs="Tahoma"/>
          <w:sz w:val="20"/>
        </w:rPr>
        <w:t>ABSTO/OEC</w:t>
      </w:r>
      <w:r w:rsidRPr="00AB7E1B">
        <w:rPr>
          <w:rFonts w:ascii="Tahoma" w:hAnsi="Tahoma" w:cs="Tahoma"/>
          <w:sz w:val="20"/>
        </w:rPr>
        <w:t>, para “el suministro de arroz superior pilado”.</w:t>
      </w:r>
    </w:p>
    <w:p w:rsidR="005447E7" w:rsidRPr="00AB7E1B" w:rsidRDefault="005447E7" w:rsidP="005447E7">
      <w:pPr>
        <w:pStyle w:val="Prrafodelista"/>
        <w:rPr>
          <w:rFonts w:ascii="Tahoma" w:hAnsi="Tahoma" w:cs="Tahoma"/>
          <w:sz w:val="20"/>
        </w:rPr>
      </w:pPr>
    </w:p>
    <w:p w:rsidR="005447E7" w:rsidRPr="00AB7E1B" w:rsidRDefault="005447E7" w:rsidP="005447E7">
      <w:pPr>
        <w:pStyle w:val="Prrafodelista"/>
        <w:widowControl/>
        <w:numPr>
          <w:ilvl w:val="0"/>
          <w:numId w:val="6"/>
        </w:numPr>
        <w:suppressAutoHyphens w:val="0"/>
        <w:ind w:left="567" w:hanging="567"/>
        <w:contextualSpacing/>
        <w:jc w:val="both"/>
        <w:rPr>
          <w:rFonts w:ascii="Tahoma" w:hAnsi="Tahoma" w:cs="Tahoma"/>
          <w:sz w:val="20"/>
        </w:rPr>
      </w:pPr>
      <w:r w:rsidRPr="00AB7E1B">
        <w:rPr>
          <w:rFonts w:ascii="Tahoma" w:hAnsi="Tahoma" w:cs="Tahoma"/>
          <w:sz w:val="20"/>
        </w:rPr>
        <w:t xml:space="preserve">En tal sentido, se verifica que la Entidad ha observado la formalidad de comunicar dos cartas notariales para la resolución del </w:t>
      </w:r>
      <w:r w:rsidR="00163715" w:rsidRPr="00AB7E1B">
        <w:rPr>
          <w:rFonts w:ascii="Tahoma" w:hAnsi="Tahoma" w:cs="Tahoma"/>
          <w:sz w:val="20"/>
        </w:rPr>
        <w:t>Contrato Nº 006-2010-EP/UO 0834</w:t>
      </w:r>
      <w:r w:rsidR="00163715">
        <w:rPr>
          <w:rFonts w:ascii="Tahoma" w:hAnsi="Tahoma" w:cs="Tahoma"/>
          <w:sz w:val="20"/>
        </w:rPr>
        <w:t>ABSTO/OEC</w:t>
      </w:r>
      <w:r w:rsidRPr="00AB7E1B">
        <w:rPr>
          <w:rFonts w:ascii="Tahoma" w:hAnsi="Tahoma" w:cs="Tahoma"/>
          <w:sz w:val="20"/>
        </w:rPr>
        <w:t>, siendo la primera carta notarial de requerimiento al Contratista para el cumplimiento de sus obligaciones y, la segunda, de resolución del contrato citado, de conformidad con el artículo 169 del Reglamento.</w:t>
      </w:r>
    </w:p>
    <w:p w:rsidR="005447E7" w:rsidRPr="00AB7E1B" w:rsidRDefault="005447E7" w:rsidP="005447E7">
      <w:pPr>
        <w:pStyle w:val="Prrafodelista"/>
        <w:rPr>
          <w:rFonts w:ascii="Tahoma" w:hAnsi="Tahoma" w:cs="Tahoma"/>
          <w:sz w:val="20"/>
        </w:rPr>
      </w:pPr>
    </w:p>
    <w:p w:rsidR="005447E7" w:rsidRPr="00AB7E1B" w:rsidRDefault="005447E7" w:rsidP="005447E7">
      <w:pPr>
        <w:pStyle w:val="Prrafodelista"/>
        <w:widowControl/>
        <w:numPr>
          <w:ilvl w:val="0"/>
          <w:numId w:val="6"/>
        </w:numPr>
        <w:suppressAutoHyphens w:val="0"/>
        <w:ind w:left="567" w:hanging="567"/>
        <w:contextualSpacing/>
        <w:jc w:val="both"/>
        <w:rPr>
          <w:rFonts w:ascii="Tahoma" w:hAnsi="Tahoma" w:cs="Tahoma"/>
          <w:sz w:val="20"/>
        </w:rPr>
      </w:pPr>
      <w:r w:rsidRPr="00AB7E1B">
        <w:rPr>
          <w:rFonts w:ascii="Tahoma" w:hAnsi="Tahoma" w:cs="Tahoma"/>
          <w:sz w:val="20"/>
        </w:rPr>
        <w:t>En ese orden de ideas, al establecerse que la resolución de contrato se resolvió de acuerdo a la normativa en contratación pública, corresponde a este Colegiado determinar si dicha conducta resultó justificada o no, en tanto que solamente el incumplimiento que obedece a causas injustificadas atribuibles a los contratistas es sancionable administrativamente, en estricta observancia del Principio de Tipicidad previsto en el numeral 4) del artículo 230º de la Ley Nº 27444 – Ley del Procedimiento Administrativo General, en cuya virtud sólo constituyen conductas sancionables administrativamente las infracciones previstas expresamente en normas con rango de ley mediante su tipificación como tales, sin admitir interpretación extensiva o por analogía.</w:t>
      </w:r>
    </w:p>
    <w:p w:rsidR="005447E7" w:rsidRPr="00AB7E1B" w:rsidRDefault="005447E7" w:rsidP="005447E7">
      <w:pPr>
        <w:pStyle w:val="Prrafodelista"/>
        <w:rPr>
          <w:rFonts w:ascii="Tahoma" w:hAnsi="Tahoma" w:cs="Tahoma"/>
          <w:sz w:val="20"/>
        </w:rPr>
      </w:pPr>
    </w:p>
    <w:p w:rsidR="005447E7" w:rsidRPr="00AB7E1B" w:rsidRDefault="005447E7" w:rsidP="005447E7">
      <w:pPr>
        <w:pStyle w:val="Prrafodelista"/>
        <w:widowControl/>
        <w:numPr>
          <w:ilvl w:val="0"/>
          <w:numId w:val="6"/>
        </w:numPr>
        <w:suppressAutoHyphens w:val="0"/>
        <w:ind w:left="567" w:hanging="567"/>
        <w:contextualSpacing/>
        <w:jc w:val="both"/>
        <w:rPr>
          <w:rFonts w:ascii="Tahoma" w:hAnsi="Tahoma" w:cs="Tahoma"/>
          <w:sz w:val="20"/>
        </w:rPr>
      </w:pPr>
      <w:r w:rsidRPr="00AB7E1B">
        <w:rPr>
          <w:rFonts w:ascii="Tahoma" w:hAnsi="Tahoma" w:cs="Tahoma"/>
          <w:sz w:val="20"/>
        </w:rPr>
        <w:t>En ese sentido, cabe anotar que existe una presunción legal que el incumplimiento de obligaciones o su cumplimiento parcial, tardío o defectuoso, es atribuible a la parte que debió ejecutarlas, salvo que ésta demuestre que el incumplimiento se produjo, a pesar de haber actuado con la diligencia ordinaria exigida por la naturaleza de la prestación, o que la causa de ella fue un caso fortuito o fuerza mayor</w:t>
      </w:r>
      <w:r w:rsidRPr="00AB7E1B">
        <w:rPr>
          <w:rStyle w:val="Refdenotaalpie"/>
          <w:rFonts w:ascii="Tahoma" w:hAnsi="Tahoma" w:cs="Tahoma"/>
          <w:sz w:val="20"/>
        </w:rPr>
        <w:footnoteReference w:id="2"/>
      </w:r>
      <w:r w:rsidRPr="00AB7E1B">
        <w:rPr>
          <w:rFonts w:ascii="Tahoma" w:hAnsi="Tahoma" w:cs="Tahoma"/>
          <w:sz w:val="20"/>
        </w:rPr>
        <w:t xml:space="preserve">. </w:t>
      </w:r>
    </w:p>
    <w:p w:rsidR="005447E7" w:rsidRPr="00AB7E1B" w:rsidRDefault="005447E7" w:rsidP="005447E7">
      <w:pPr>
        <w:rPr>
          <w:rFonts w:ascii="Tahoma" w:hAnsi="Tahoma" w:cs="Tahoma"/>
          <w:sz w:val="20"/>
          <w:szCs w:val="20"/>
        </w:rPr>
      </w:pPr>
    </w:p>
    <w:p w:rsidR="005447E7" w:rsidRPr="00AB7E1B" w:rsidRDefault="005447E7" w:rsidP="005447E7">
      <w:pPr>
        <w:pStyle w:val="Lista3"/>
        <w:numPr>
          <w:ilvl w:val="0"/>
          <w:numId w:val="6"/>
        </w:numPr>
        <w:spacing w:after="0" w:line="240" w:lineRule="auto"/>
        <w:ind w:left="567" w:hanging="567"/>
        <w:jc w:val="both"/>
        <w:rPr>
          <w:rFonts w:ascii="Tahoma" w:hAnsi="Tahoma" w:cs="Tahoma"/>
          <w:sz w:val="20"/>
          <w:szCs w:val="20"/>
        </w:rPr>
      </w:pPr>
      <w:r w:rsidRPr="00AB7E1B">
        <w:rPr>
          <w:rFonts w:ascii="Tahoma" w:hAnsi="Tahoma" w:cs="Tahoma"/>
          <w:sz w:val="20"/>
          <w:szCs w:val="20"/>
        </w:rPr>
        <w:t xml:space="preserve">En el caso que nos ocupa, tenemos que la Entidad ha denunciado al Contratista por haber dado lugar a la resolución del contrato por causal atribuible a su parte, debido a que no habría cumplido oportunamente con el suministro de los bienes en atención a las órdenes de compra Nº 511 y 515 del mes de setiembre de 2010. </w:t>
      </w:r>
    </w:p>
    <w:p w:rsidR="005447E7" w:rsidRPr="00AB7E1B" w:rsidRDefault="005447E7" w:rsidP="005447E7">
      <w:pPr>
        <w:pStyle w:val="Prrafodelista"/>
        <w:rPr>
          <w:rFonts w:ascii="Tahoma" w:hAnsi="Tahoma" w:cs="Tahoma"/>
          <w:sz w:val="20"/>
        </w:rPr>
      </w:pPr>
    </w:p>
    <w:p w:rsidR="005447E7" w:rsidRPr="00AB7E1B" w:rsidRDefault="005447E7" w:rsidP="005447E7">
      <w:pPr>
        <w:pStyle w:val="Prrafodelista"/>
        <w:widowControl/>
        <w:numPr>
          <w:ilvl w:val="0"/>
          <w:numId w:val="6"/>
        </w:numPr>
        <w:suppressAutoHyphens w:val="0"/>
        <w:ind w:left="567" w:hanging="567"/>
        <w:contextualSpacing/>
        <w:jc w:val="both"/>
        <w:rPr>
          <w:rFonts w:ascii="Tahoma" w:hAnsi="Tahoma" w:cs="Tahoma"/>
          <w:sz w:val="20"/>
        </w:rPr>
      </w:pPr>
      <w:r w:rsidRPr="00AB7E1B">
        <w:rPr>
          <w:rFonts w:ascii="Tahoma" w:hAnsi="Tahoma" w:cs="Tahoma"/>
          <w:sz w:val="20"/>
        </w:rPr>
        <w:t>Cabe precisar, que el Contratista señala en su escrito de descargos que no pudo seguir cumpliendo con las obligaciones contraídas con la Entidad considerando que el precio del arroz que había ofertado a S/.1.46 el kilo incrementó considerablemente en el mercado, por lo que solo pudo cumplir con el internamiento del bien hasta el mes de agosto, teniendo en cuenta que no podía asumir una perdida que superaba el 20% de su patrimonio; situación que fue de conocimiento de la Entidad.</w:t>
      </w:r>
    </w:p>
    <w:p w:rsidR="005447E7" w:rsidRPr="00AB7E1B" w:rsidRDefault="005447E7" w:rsidP="005447E7">
      <w:pPr>
        <w:pStyle w:val="Prrafodelista"/>
        <w:rPr>
          <w:rFonts w:ascii="Tahoma" w:hAnsi="Tahoma" w:cs="Tahoma"/>
          <w:sz w:val="20"/>
        </w:rPr>
      </w:pPr>
    </w:p>
    <w:p w:rsidR="005447E7" w:rsidRPr="00AB7E1B" w:rsidRDefault="005447E7" w:rsidP="005447E7">
      <w:pPr>
        <w:pStyle w:val="Prrafodelista"/>
        <w:ind w:left="567"/>
        <w:contextualSpacing/>
        <w:jc w:val="both"/>
        <w:rPr>
          <w:rFonts w:ascii="Tahoma" w:hAnsi="Tahoma" w:cs="Tahoma"/>
          <w:sz w:val="20"/>
        </w:rPr>
      </w:pPr>
      <w:r w:rsidRPr="00AB7E1B">
        <w:rPr>
          <w:rFonts w:ascii="Tahoma" w:hAnsi="Tahoma" w:cs="Tahoma"/>
          <w:sz w:val="20"/>
        </w:rPr>
        <w:t xml:space="preserve">En ese sentido manifestó que no es causa atribuible a su representada el incumplimiento </w:t>
      </w:r>
      <w:r w:rsidRPr="00AB7E1B">
        <w:rPr>
          <w:rFonts w:ascii="Tahoma" w:hAnsi="Tahoma" w:cs="Tahoma"/>
          <w:sz w:val="20"/>
        </w:rPr>
        <w:lastRenderedPageBreak/>
        <w:t>producido y que conllevó a la resolución del contrato, sino a una situación que escapa a la voluntad y responsabilidad de la empresa.</w:t>
      </w:r>
    </w:p>
    <w:p w:rsidR="005447E7" w:rsidRPr="00AB7E1B" w:rsidRDefault="005447E7" w:rsidP="005447E7">
      <w:pPr>
        <w:pStyle w:val="Prrafodelista"/>
        <w:ind w:left="567"/>
        <w:contextualSpacing/>
        <w:jc w:val="both"/>
        <w:rPr>
          <w:rFonts w:ascii="Tahoma" w:hAnsi="Tahoma" w:cs="Tahoma"/>
          <w:sz w:val="20"/>
        </w:rPr>
      </w:pPr>
    </w:p>
    <w:p w:rsidR="005447E7" w:rsidRPr="00AB7E1B" w:rsidRDefault="005447E7" w:rsidP="005447E7">
      <w:pPr>
        <w:pStyle w:val="Prrafodelista"/>
        <w:widowControl/>
        <w:numPr>
          <w:ilvl w:val="0"/>
          <w:numId w:val="6"/>
        </w:numPr>
        <w:suppressAutoHyphens w:val="0"/>
        <w:ind w:left="567" w:hanging="567"/>
        <w:contextualSpacing/>
        <w:jc w:val="both"/>
        <w:rPr>
          <w:rFonts w:ascii="Tahoma" w:hAnsi="Tahoma" w:cs="Tahoma"/>
          <w:sz w:val="20"/>
        </w:rPr>
      </w:pPr>
      <w:r w:rsidRPr="00AB7E1B">
        <w:rPr>
          <w:rFonts w:ascii="Tahoma" w:hAnsi="Tahoma" w:cs="Tahoma"/>
          <w:sz w:val="20"/>
        </w:rPr>
        <w:t xml:space="preserve">En virtud de lo expuesto, el tema central del presente caso consiste en determinar si con la razón alegada por el Contratista se le puede eximir de responsabilidad en la resolución del contrato referido. </w:t>
      </w:r>
    </w:p>
    <w:p w:rsidR="005447E7" w:rsidRPr="00AB7E1B" w:rsidRDefault="005447E7" w:rsidP="005447E7">
      <w:pPr>
        <w:pStyle w:val="Lista3"/>
        <w:spacing w:after="0" w:line="240" w:lineRule="auto"/>
        <w:ind w:left="567" w:firstLine="0"/>
        <w:jc w:val="both"/>
        <w:rPr>
          <w:rFonts w:ascii="Tahoma" w:hAnsi="Tahoma" w:cs="Tahoma"/>
          <w:sz w:val="20"/>
          <w:szCs w:val="20"/>
        </w:rPr>
      </w:pPr>
    </w:p>
    <w:p w:rsidR="005447E7" w:rsidRPr="00AB7E1B" w:rsidRDefault="005447E7" w:rsidP="005447E7">
      <w:pPr>
        <w:pStyle w:val="Lista3"/>
        <w:numPr>
          <w:ilvl w:val="0"/>
          <w:numId w:val="6"/>
        </w:numPr>
        <w:spacing w:after="0" w:line="240" w:lineRule="auto"/>
        <w:ind w:left="567" w:hanging="567"/>
        <w:jc w:val="both"/>
        <w:rPr>
          <w:rFonts w:ascii="Tahoma" w:hAnsi="Tahoma" w:cs="Tahoma"/>
          <w:sz w:val="20"/>
          <w:szCs w:val="20"/>
        </w:rPr>
      </w:pPr>
      <w:r w:rsidRPr="00AB7E1B">
        <w:rPr>
          <w:rFonts w:ascii="Tahoma" w:hAnsi="Tahoma" w:cs="Tahoma"/>
          <w:sz w:val="20"/>
          <w:szCs w:val="20"/>
        </w:rPr>
        <w:t>Ahora bien, este Tribunal solicitó información al Instituto Nacional de Estadística e Informática-INEI señalando:</w:t>
      </w:r>
    </w:p>
    <w:p w:rsidR="005447E7" w:rsidRPr="00AB7E1B" w:rsidRDefault="005447E7" w:rsidP="005447E7">
      <w:pPr>
        <w:pStyle w:val="Lista3"/>
        <w:spacing w:after="0" w:line="240" w:lineRule="auto"/>
        <w:ind w:left="567" w:firstLine="0"/>
        <w:jc w:val="both"/>
        <w:rPr>
          <w:rFonts w:ascii="Tahoma" w:hAnsi="Tahoma" w:cs="Tahoma"/>
          <w:sz w:val="20"/>
          <w:szCs w:val="20"/>
        </w:rPr>
      </w:pPr>
    </w:p>
    <w:p w:rsidR="005447E7" w:rsidRPr="00AB7E1B" w:rsidRDefault="005447E7" w:rsidP="005447E7">
      <w:pPr>
        <w:pStyle w:val="Prrafodelista"/>
        <w:ind w:left="567"/>
        <w:jc w:val="both"/>
        <w:rPr>
          <w:rFonts w:ascii="Tahoma" w:hAnsi="Tahoma" w:cs="Tahoma"/>
          <w:i/>
          <w:sz w:val="20"/>
        </w:rPr>
      </w:pPr>
      <w:r w:rsidRPr="00AB7E1B">
        <w:rPr>
          <w:rFonts w:ascii="Tahoma" w:hAnsi="Tahoma" w:cs="Tahoma"/>
          <w:i/>
          <w:sz w:val="20"/>
        </w:rPr>
        <w:t>“A fin que la Primera Sala tenga mayores elementos de juicio al momento de resolver el presente procedimiento, se requiere lo siguiente:</w:t>
      </w:r>
    </w:p>
    <w:p w:rsidR="005447E7" w:rsidRPr="00AB7E1B" w:rsidRDefault="005447E7" w:rsidP="005447E7">
      <w:pPr>
        <w:pStyle w:val="Prrafodelista"/>
        <w:ind w:left="360"/>
        <w:jc w:val="both"/>
        <w:rPr>
          <w:rFonts w:ascii="Tahoma" w:hAnsi="Tahoma" w:cs="Tahoma"/>
          <w:b/>
          <w:i/>
          <w:sz w:val="20"/>
          <w:lang w:val="es-PE"/>
        </w:rPr>
      </w:pPr>
    </w:p>
    <w:p w:rsidR="005447E7" w:rsidRPr="00AB7E1B" w:rsidRDefault="005447E7" w:rsidP="005447E7">
      <w:pPr>
        <w:ind w:left="567"/>
        <w:jc w:val="both"/>
        <w:rPr>
          <w:rFonts w:ascii="Tahoma" w:hAnsi="Tahoma" w:cs="Tahoma"/>
          <w:b/>
          <w:i/>
          <w:sz w:val="20"/>
          <w:szCs w:val="20"/>
          <w:lang w:val="es-ES_tradnl"/>
        </w:rPr>
      </w:pPr>
      <w:r w:rsidRPr="00AB7E1B">
        <w:rPr>
          <w:rFonts w:ascii="Tahoma" w:hAnsi="Tahoma" w:cs="Tahoma"/>
          <w:b/>
          <w:i/>
          <w:sz w:val="20"/>
          <w:szCs w:val="20"/>
          <w:lang w:val="es-ES_tradnl"/>
        </w:rPr>
        <w:t>A LA DIRECCIÓN TÉCNICA DE INDICADORES ECONÓMICOS DEL INSTITUTO NACIONAL DE ESTADÍSTICAS E INFORMATICA</w:t>
      </w:r>
    </w:p>
    <w:p w:rsidR="005447E7" w:rsidRPr="00AB7E1B" w:rsidRDefault="005447E7" w:rsidP="005447E7">
      <w:pPr>
        <w:pStyle w:val="Prrafodelista"/>
        <w:ind w:left="360"/>
        <w:jc w:val="both"/>
        <w:rPr>
          <w:rFonts w:ascii="Tahoma" w:hAnsi="Tahoma" w:cs="Tahoma"/>
          <w:b/>
          <w:i/>
          <w:sz w:val="20"/>
        </w:rPr>
      </w:pPr>
    </w:p>
    <w:p w:rsidR="005447E7" w:rsidRPr="00AB7E1B" w:rsidRDefault="005447E7" w:rsidP="005447E7">
      <w:pPr>
        <w:pStyle w:val="Prrafodelista"/>
        <w:ind w:left="567"/>
        <w:jc w:val="both"/>
        <w:rPr>
          <w:rFonts w:ascii="Tahoma" w:hAnsi="Tahoma" w:cs="Tahoma"/>
          <w:i/>
          <w:sz w:val="20"/>
        </w:rPr>
      </w:pPr>
      <w:r w:rsidRPr="00AB7E1B">
        <w:rPr>
          <w:rFonts w:ascii="Tahoma" w:hAnsi="Tahoma" w:cs="Tahoma"/>
          <w:i/>
          <w:sz w:val="20"/>
        </w:rPr>
        <w:t xml:space="preserve">Sírvase presentar el Índice mensual del Precios Promedio por kilo del articulo </w:t>
      </w:r>
      <w:r w:rsidRPr="00AB7E1B">
        <w:rPr>
          <w:rFonts w:ascii="Tahoma" w:hAnsi="Tahoma" w:cs="Tahoma"/>
          <w:i/>
          <w:sz w:val="20"/>
          <w:u w:val="single"/>
        </w:rPr>
        <w:t xml:space="preserve">arroz superior pilado </w:t>
      </w:r>
      <w:r w:rsidRPr="00AB7E1B">
        <w:rPr>
          <w:rFonts w:ascii="Tahoma" w:hAnsi="Tahoma" w:cs="Tahoma"/>
          <w:i/>
          <w:sz w:val="20"/>
        </w:rPr>
        <w:t>(arroz superior, grano largo seleccionado, bien pilado, sin polvillos ni materias extrañas), que se habría producido en los meses de mayo, junio, julio, agosto setiembre y octubre del año 2010.</w:t>
      </w:r>
    </w:p>
    <w:p w:rsidR="005447E7" w:rsidRPr="00AB7E1B" w:rsidRDefault="005447E7" w:rsidP="005447E7">
      <w:pPr>
        <w:pStyle w:val="Prrafodelista"/>
        <w:ind w:left="567"/>
        <w:jc w:val="both"/>
        <w:rPr>
          <w:rFonts w:ascii="Tahoma" w:hAnsi="Tahoma" w:cs="Tahoma"/>
          <w:i/>
          <w:sz w:val="20"/>
        </w:rPr>
      </w:pPr>
    </w:p>
    <w:p w:rsidR="005447E7" w:rsidRPr="00AB7E1B" w:rsidRDefault="005447E7" w:rsidP="005447E7">
      <w:pPr>
        <w:pStyle w:val="Prrafodelista"/>
        <w:ind w:left="567"/>
        <w:jc w:val="both"/>
        <w:rPr>
          <w:rFonts w:ascii="Tahoma" w:hAnsi="Tahoma" w:cs="Tahoma"/>
          <w:b/>
          <w:i/>
          <w:sz w:val="20"/>
        </w:rPr>
      </w:pPr>
      <w:r w:rsidRPr="00AB7E1B">
        <w:rPr>
          <w:rFonts w:ascii="Tahoma" w:hAnsi="Tahoma" w:cs="Tahoma"/>
          <w:i/>
          <w:sz w:val="20"/>
        </w:rPr>
        <w:t>La información requerida deberá ser remitida en el plazo de tres (3) días, bajo responsabilidad y apercibimiento de resolver con la documentación que obra en autos.”</w:t>
      </w:r>
    </w:p>
    <w:p w:rsidR="005447E7" w:rsidRPr="00AB7E1B" w:rsidRDefault="005447E7" w:rsidP="00AB7E1B">
      <w:pPr>
        <w:jc w:val="both"/>
        <w:rPr>
          <w:rFonts w:ascii="Tahoma" w:hAnsi="Tahoma" w:cs="Tahoma"/>
          <w:b/>
          <w:i/>
          <w:sz w:val="20"/>
          <w:szCs w:val="20"/>
        </w:rPr>
      </w:pPr>
    </w:p>
    <w:p w:rsidR="005447E7" w:rsidRPr="00AB7E1B" w:rsidRDefault="005447E7" w:rsidP="005447E7">
      <w:pPr>
        <w:pStyle w:val="Lista3"/>
        <w:numPr>
          <w:ilvl w:val="0"/>
          <w:numId w:val="6"/>
        </w:numPr>
        <w:spacing w:after="0" w:line="240" w:lineRule="auto"/>
        <w:ind w:left="567" w:hanging="567"/>
        <w:jc w:val="both"/>
        <w:rPr>
          <w:rFonts w:ascii="Tahoma" w:hAnsi="Tahoma" w:cs="Tahoma"/>
          <w:sz w:val="20"/>
          <w:szCs w:val="20"/>
          <w:lang w:val="es-ES_tradnl"/>
        </w:rPr>
      </w:pPr>
      <w:r w:rsidRPr="00AB7E1B">
        <w:rPr>
          <w:rFonts w:ascii="Tahoma" w:hAnsi="Tahoma" w:cs="Tahoma"/>
          <w:sz w:val="20"/>
          <w:szCs w:val="20"/>
          <w:lang w:val="es-ES_tradnl"/>
        </w:rPr>
        <w:t>Sobre el particular, el INEI mediante Oficio Nº 106-2011-INEI/DTIE remitió la información solicitada señalando:</w:t>
      </w:r>
    </w:p>
    <w:p w:rsidR="005447E7" w:rsidRPr="00AB7E1B" w:rsidRDefault="005447E7" w:rsidP="005447E7">
      <w:pPr>
        <w:pStyle w:val="Lista3"/>
        <w:spacing w:after="0" w:line="240" w:lineRule="auto"/>
        <w:jc w:val="both"/>
        <w:rPr>
          <w:rFonts w:ascii="Tahoma" w:hAnsi="Tahoma" w:cs="Tahoma"/>
          <w:sz w:val="20"/>
          <w:szCs w:val="20"/>
          <w:lang w:val="es-ES_tradnl"/>
        </w:rPr>
      </w:pPr>
    </w:p>
    <w:p w:rsidR="00AB7E1B" w:rsidRPr="00AB7E1B" w:rsidRDefault="00AB7E1B" w:rsidP="005447E7">
      <w:pPr>
        <w:pStyle w:val="Lista3"/>
        <w:spacing w:after="0" w:line="240" w:lineRule="auto"/>
        <w:jc w:val="both"/>
        <w:rPr>
          <w:rFonts w:ascii="Tahoma" w:hAnsi="Tahoma" w:cs="Tahoma"/>
          <w:sz w:val="20"/>
          <w:szCs w:val="20"/>
          <w:lang w:val="es-ES_tradnl"/>
        </w:rPr>
      </w:pPr>
    </w:p>
    <w:p w:rsidR="005447E7" w:rsidRPr="00AB7E1B" w:rsidRDefault="005447E7" w:rsidP="005447E7">
      <w:pPr>
        <w:pStyle w:val="Lista3"/>
        <w:spacing w:after="0" w:line="240" w:lineRule="auto"/>
        <w:jc w:val="center"/>
        <w:rPr>
          <w:rFonts w:ascii="Tahoma" w:hAnsi="Tahoma" w:cs="Tahoma"/>
          <w:b/>
          <w:sz w:val="20"/>
          <w:szCs w:val="20"/>
          <w:lang w:val="es-ES_tradnl"/>
        </w:rPr>
      </w:pPr>
      <w:r w:rsidRPr="00AB7E1B">
        <w:rPr>
          <w:rFonts w:ascii="Tahoma" w:hAnsi="Tahoma" w:cs="Tahoma"/>
          <w:b/>
          <w:sz w:val="20"/>
          <w:szCs w:val="20"/>
          <w:lang w:val="es-ES_tradnl"/>
        </w:rPr>
        <w:t>PRECIO PROMEDIO MENSUAL DEL ARROZ SUPERIOR EN EL INDICE DE PRECIOS AL POR MAYOR</w:t>
      </w:r>
    </w:p>
    <w:p w:rsidR="005447E7" w:rsidRPr="00AB7E1B" w:rsidRDefault="005447E7" w:rsidP="005447E7">
      <w:pPr>
        <w:pStyle w:val="Lista3"/>
        <w:spacing w:after="0" w:line="240" w:lineRule="auto"/>
        <w:jc w:val="center"/>
        <w:rPr>
          <w:rFonts w:ascii="Tahoma" w:hAnsi="Tahoma" w:cs="Tahoma"/>
          <w:b/>
          <w:sz w:val="20"/>
          <w:szCs w:val="20"/>
          <w:lang w:val="es-ES_tradnl"/>
        </w:rPr>
      </w:pPr>
      <w:r w:rsidRPr="00AB7E1B">
        <w:rPr>
          <w:rFonts w:ascii="Tahoma" w:hAnsi="Tahoma" w:cs="Tahoma"/>
          <w:b/>
          <w:sz w:val="20"/>
          <w:szCs w:val="20"/>
          <w:lang w:val="es-ES_tradnl"/>
        </w:rPr>
        <w:t>PERIODO MAYO-OCTUBRE 2010</w:t>
      </w:r>
    </w:p>
    <w:p w:rsidR="005447E7" w:rsidRPr="00AB7E1B" w:rsidRDefault="005447E7" w:rsidP="005447E7">
      <w:pPr>
        <w:pStyle w:val="Lista3"/>
        <w:spacing w:after="0" w:line="240" w:lineRule="auto"/>
        <w:jc w:val="center"/>
        <w:rPr>
          <w:rFonts w:ascii="Tahoma" w:hAnsi="Tahoma" w:cs="Tahoma"/>
          <w:b/>
          <w:sz w:val="20"/>
          <w:szCs w:val="20"/>
          <w:lang w:val="es-ES_tradnl"/>
        </w:rPr>
      </w:pPr>
      <w:r w:rsidRPr="00AB7E1B">
        <w:rPr>
          <w:rFonts w:ascii="Tahoma" w:hAnsi="Tahoma" w:cs="Tahoma"/>
          <w:b/>
          <w:sz w:val="20"/>
          <w:szCs w:val="20"/>
          <w:lang w:val="es-ES_tradnl"/>
        </w:rPr>
        <w:t>(Nuevos Soles por bolsa de 12 kilogramos)</w:t>
      </w:r>
    </w:p>
    <w:p w:rsidR="005447E7" w:rsidRPr="00AB7E1B" w:rsidRDefault="005447E7" w:rsidP="005447E7">
      <w:pPr>
        <w:pStyle w:val="Lista3"/>
        <w:spacing w:after="0" w:line="240" w:lineRule="auto"/>
        <w:jc w:val="center"/>
        <w:rPr>
          <w:rFonts w:ascii="Tahoma" w:hAnsi="Tahoma" w:cs="Tahoma"/>
          <w:sz w:val="20"/>
          <w:szCs w:val="20"/>
          <w:lang w:val="es-ES_tradnl"/>
        </w:rPr>
      </w:pPr>
    </w:p>
    <w:tbl>
      <w:tblPr>
        <w:tblStyle w:val="Tablaconcuadrcula"/>
        <w:tblW w:w="0" w:type="auto"/>
        <w:tblInd w:w="1626" w:type="dxa"/>
        <w:tblLook w:val="04A0"/>
      </w:tblPr>
      <w:tblGrid>
        <w:gridCol w:w="2602"/>
        <w:gridCol w:w="2668"/>
      </w:tblGrid>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b/>
                <w:sz w:val="20"/>
                <w:szCs w:val="20"/>
                <w:lang w:val="es-ES_tradnl"/>
              </w:rPr>
            </w:pPr>
            <w:r w:rsidRPr="00AB7E1B">
              <w:rPr>
                <w:rFonts w:ascii="Tahoma" w:hAnsi="Tahoma" w:cs="Tahoma"/>
                <w:b/>
                <w:sz w:val="20"/>
                <w:szCs w:val="20"/>
                <w:lang w:val="es-ES_tradnl"/>
              </w:rPr>
              <w:t>Mes</w:t>
            </w:r>
          </w:p>
        </w:tc>
        <w:tc>
          <w:tcPr>
            <w:tcW w:w="2668" w:type="dxa"/>
          </w:tcPr>
          <w:p w:rsidR="005447E7" w:rsidRPr="00AB7E1B" w:rsidRDefault="005447E7" w:rsidP="00301F84">
            <w:pPr>
              <w:pStyle w:val="Lista3"/>
              <w:spacing w:after="0" w:line="240" w:lineRule="auto"/>
              <w:ind w:left="0" w:firstLine="0"/>
              <w:jc w:val="center"/>
              <w:rPr>
                <w:rFonts w:ascii="Tahoma" w:hAnsi="Tahoma" w:cs="Tahoma"/>
                <w:b/>
                <w:sz w:val="20"/>
                <w:szCs w:val="20"/>
                <w:lang w:val="es-ES_tradnl"/>
              </w:rPr>
            </w:pPr>
            <w:r w:rsidRPr="00AB7E1B">
              <w:rPr>
                <w:rFonts w:ascii="Tahoma" w:hAnsi="Tahoma" w:cs="Tahoma"/>
                <w:b/>
                <w:sz w:val="20"/>
                <w:szCs w:val="20"/>
                <w:lang w:val="es-ES_tradnl"/>
              </w:rPr>
              <w:t>Arroz envasado superior por 12 kg</w:t>
            </w:r>
          </w:p>
        </w:tc>
      </w:tr>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Mayo</w:t>
            </w:r>
          </w:p>
        </w:tc>
        <w:tc>
          <w:tcPr>
            <w:tcW w:w="2668"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35.64</w:t>
            </w:r>
          </w:p>
        </w:tc>
      </w:tr>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Junio</w:t>
            </w:r>
          </w:p>
        </w:tc>
        <w:tc>
          <w:tcPr>
            <w:tcW w:w="2668"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34.97</w:t>
            </w:r>
          </w:p>
        </w:tc>
      </w:tr>
      <w:tr w:rsidR="005447E7" w:rsidRPr="00AB7E1B" w:rsidTr="00301F84">
        <w:tc>
          <w:tcPr>
            <w:tcW w:w="2602" w:type="dxa"/>
          </w:tcPr>
          <w:p w:rsidR="005447E7" w:rsidRPr="00AB7E1B" w:rsidRDefault="005447E7" w:rsidP="00301F84">
            <w:pPr>
              <w:pStyle w:val="Lista3"/>
              <w:tabs>
                <w:tab w:val="center" w:pos="1193"/>
                <w:tab w:val="right" w:pos="2386"/>
              </w:tabs>
              <w:spacing w:after="0" w:line="240" w:lineRule="auto"/>
              <w:ind w:left="0" w:firstLine="0"/>
              <w:rPr>
                <w:rFonts w:ascii="Tahoma" w:hAnsi="Tahoma" w:cs="Tahoma"/>
                <w:sz w:val="20"/>
                <w:szCs w:val="20"/>
                <w:lang w:val="es-ES_tradnl"/>
              </w:rPr>
            </w:pPr>
            <w:r w:rsidRPr="00AB7E1B">
              <w:rPr>
                <w:rFonts w:ascii="Tahoma" w:hAnsi="Tahoma" w:cs="Tahoma"/>
                <w:sz w:val="20"/>
                <w:szCs w:val="20"/>
                <w:lang w:val="es-ES_tradnl"/>
              </w:rPr>
              <w:tab/>
              <w:t>Julio</w:t>
            </w:r>
            <w:r w:rsidRPr="00AB7E1B">
              <w:rPr>
                <w:rFonts w:ascii="Tahoma" w:hAnsi="Tahoma" w:cs="Tahoma"/>
                <w:sz w:val="20"/>
                <w:szCs w:val="20"/>
                <w:lang w:val="es-ES_tradnl"/>
              </w:rPr>
              <w:tab/>
            </w:r>
          </w:p>
        </w:tc>
        <w:tc>
          <w:tcPr>
            <w:tcW w:w="2668"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34.75</w:t>
            </w:r>
          </w:p>
        </w:tc>
      </w:tr>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Agosto</w:t>
            </w:r>
          </w:p>
        </w:tc>
        <w:tc>
          <w:tcPr>
            <w:tcW w:w="2668"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35.13</w:t>
            </w:r>
          </w:p>
        </w:tc>
      </w:tr>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Setiembre</w:t>
            </w:r>
          </w:p>
        </w:tc>
        <w:tc>
          <w:tcPr>
            <w:tcW w:w="2668"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35.26</w:t>
            </w:r>
          </w:p>
        </w:tc>
      </w:tr>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Octubre</w:t>
            </w:r>
          </w:p>
        </w:tc>
        <w:tc>
          <w:tcPr>
            <w:tcW w:w="2668"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35.30</w:t>
            </w:r>
          </w:p>
        </w:tc>
      </w:tr>
    </w:tbl>
    <w:p w:rsidR="005447E7" w:rsidRPr="00AB7E1B" w:rsidRDefault="005447E7" w:rsidP="005447E7">
      <w:pPr>
        <w:pStyle w:val="Lista3"/>
        <w:spacing w:after="0" w:line="240" w:lineRule="auto"/>
        <w:ind w:left="0" w:firstLine="0"/>
        <w:jc w:val="both"/>
        <w:rPr>
          <w:rFonts w:ascii="Tahoma" w:hAnsi="Tahoma" w:cs="Tahoma"/>
          <w:sz w:val="20"/>
          <w:szCs w:val="20"/>
          <w:lang w:val="es-ES_tradnl"/>
        </w:rPr>
      </w:pPr>
    </w:p>
    <w:p w:rsidR="005447E7" w:rsidRPr="00AB7E1B" w:rsidRDefault="005447E7" w:rsidP="005447E7">
      <w:pPr>
        <w:pStyle w:val="Prrafodelista"/>
        <w:widowControl/>
        <w:numPr>
          <w:ilvl w:val="0"/>
          <w:numId w:val="6"/>
        </w:numPr>
        <w:suppressAutoHyphens w:val="0"/>
        <w:ind w:left="567" w:hanging="567"/>
        <w:contextualSpacing/>
        <w:jc w:val="both"/>
        <w:rPr>
          <w:rFonts w:ascii="Tahoma" w:hAnsi="Tahoma" w:cs="Tahoma"/>
          <w:sz w:val="20"/>
        </w:rPr>
      </w:pPr>
      <w:r w:rsidRPr="00AB7E1B">
        <w:rPr>
          <w:rFonts w:ascii="Tahoma" w:hAnsi="Tahoma" w:cs="Tahoma"/>
          <w:sz w:val="20"/>
        </w:rPr>
        <w:t>Teniendo en cuenta la información remitida por el INEI se advierte que el precio promedio mensual para el bien, arroz SUPERIOR, por kilo, equivale a los siguiente:</w:t>
      </w:r>
    </w:p>
    <w:p w:rsidR="005447E7" w:rsidRDefault="005447E7" w:rsidP="005447E7">
      <w:pPr>
        <w:pStyle w:val="Prrafodelista"/>
        <w:ind w:left="567"/>
        <w:contextualSpacing/>
        <w:jc w:val="both"/>
        <w:rPr>
          <w:rFonts w:ascii="Tahoma" w:hAnsi="Tahoma" w:cs="Tahoma"/>
          <w:sz w:val="20"/>
        </w:rPr>
      </w:pPr>
    </w:p>
    <w:p w:rsidR="00AB7E1B" w:rsidRDefault="00AB7E1B" w:rsidP="005447E7">
      <w:pPr>
        <w:pStyle w:val="Prrafodelista"/>
        <w:ind w:left="567"/>
        <w:contextualSpacing/>
        <w:jc w:val="both"/>
        <w:rPr>
          <w:rFonts w:ascii="Tahoma" w:hAnsi="Tahoma" w:cs="Tahoma"/>
          <w:sz w:val="20"/>
        </w:rPr>
      </w:pPr>
    </w:p>
    <w:p w:rsidR="00AB7E1B" w:rsidRDefault="00AB7E1B" w:rsidP="005447E7">
      <w:pPr>
        <w:pStyle w:val="Prrafodelista"/>
        <w:ind w:left="567"/>
        <w:contextualSpacing/>
        <w:jc w:val="both"/>
        <w:rPr>
          <w:rFonts w:ascii="Tahoma" w:hAnsi="Tahoma" w:cs="Tahoma"/>
          <w:sz w:val="20"/>
        </w:rPr>
      </w:pPr>
    </w:p>
    <w:p w:rsidR="00AB7E1B" w:rsidRDefault="00AB7E1B" w:rsidP="005447E7">
      <w:pPr>
        <w:pStyle w:val="Prrafodelista"/>
        <w:ind w:left="567"/>
        <w:contextualSpacing/>
        <w:jc w:val="both"/>
        <w:rPr>
          <w:rFonts w:ascii="Tahoma" w:hAnsi="Tahoma" w:cs="Tahoma"/>
          <w:sz w:val="20"/>
        </w:rPr>
      </w:pPr>
    </w:p>
    <w:p w:rsidR="00AB7E1B" w:rsidRDefault="00AB7E1B" w:rsidP="005447E7">
      <w:pPr>
        <w:pStyle w:val="Prrafodelista"/>
        <w:ind w:left="567"/>
        <w:contextualSpacing/>
        <w:jc w:val="both"/>
        <w:rPr>
          <w:rFonts w:ascii="Tahoma" w:hAnsi="Tahoma" w:cs="Tahoma"/>
          <w:sz w:val="20"/>
        </w:rPr>
      </w:pPr>
    </w:p>
    <w:p w:rsidR="00AB7E1B" w:rsidRPr="00AB7E1B" w:rsidRDefault="00AB7E1B" w:rsidP="005447E7">
      <w:pPr>
        <w:pStyle w:val="Prrafodelista"/>
        <w:ind w:left="567"/>
        <w:contextualSpacing/>
        <w:jc w:val="both"/>
        <w:rPr>
          <w:rFonts w:ascii="Tahoma" w:hAnsi="Tahoma" w:cs="Tahoma"/>
          <w:sz w:val="20"/>
        </w:rPr>
      </w:pPr>
    </w:p>
    <w:tbl>
      <w:tblPr>
        <w:tblStyle w:val="Tablaconcuadrcula"/>
        <w:tblW w:w="0" w:type="auto"/>
        <w:tblInd w:w="2090" w:type="dxa"/>
        <w:tblLook w:val="04A0"/>
      </w:tblPr>
      <w:tblGrid>
        <w:gridCol w:w="2602"/>
        <w:gridCol w:w="2668"/>
      </w:tblGrid>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b/>
                <w:sz w:val="20"/>
                <w:szCs w:val="20"/>
                <w:lang w:val="es-ES_tradnl"/>
              </w:rPr>
            </w:pPr>
            <w:r w:rsidRPr="00AB7E1B">
              <w:rPr>
                <w:rFonts w:ascii="Tahoma" w:hAnsi="Tahoma" w:cs="Tahoma"/>
                <w:b/>
                <w:sz w:val="20"/>
                <w:szCs w:val="20"/>
                <w:lang w:val="es-ES_tradnl"/>
              </w:rPr>
              <w:lastRenderedPageBreak/>
              <w:t>Mes</w:t>
            </w:r>
          </w:p>
        </w:tc>
        <w:tc>
          <w:tcPr>
            <w:tcW w:w="2668" w:type="dxa"/>
          </w:tcPr>
          <w:p w:rsidR="005447E7" w:rsidRPr="00AB7E1B" w:rsidRDefault="005447E7" w:rsidP="00301F84">
            <w:pPr>
              <w:pStyle w:val="Lista3"/>
              <w:spacing w:after="0" w:line="240" w:lineRule="auto"/>
              <w:ind w:left="0" w:firstLine="0"/>
              <w:jc w:val="center"/>
              <w:rPr>
                <w:rFonts w:ascii="Tahoma" w:hAnsi="Tahoma" w:cs="Tahoma"/>
                <w:b/>
                <w:sz w:val="20"/>
                <w:szCs w:val="20"/>
                <w:lang w:val="es-ES_tradnl"/>
              </w:rPr>
            </w:pPr>
            <w:r w:rsidRPr="00AB7E1B">
              <w:rPr>
                <w:rFonts w:ascii="Tahoma" w:hAnsi="Tahoma" w:cs="Tahoma"/>
                <w:b/>
                <w:sz w:val="20"/>
                <w:szCs w:val="20"/>
                <w:lang w:val="es-ES_tradnl"/>
              </w:rPr>
              <w:t>Arroz envasado superior por  kg</w:t>
            </w:r>
          </w:p>
        </w:tc>
      </w:tr>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Mayo</w:t>
            </w:r>
          </w:p>
        </w:tc>
        <w:tc>
          <w:tcPr>
            <w:tcW w:w="2668"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2.97</w:t>
            </w:r>
          </w:p>
        </w:tc>
      </w:tr>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Junio</w:t>
            </w:r>
          </w:p>
        </w:tc>
        <w:tc>
          <w:tcPr>
            <w:tcW w:w="2668"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2.91</w:t>
            </w:r>
          </w:p>
        </w:tc>
      </w:tr>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Julio</w:t>
            </w:r>
          </w:p>
        </w:tc>
        <w:tc>
          <w:tcPr>
            <w:tcW w:w="2668" w:type="dxa"/>
          </w:tcPr>
          <w:p w:rsidR="005447E7" w:rsidRPr="00AB7E1B" w:rsidRDefault="005447E7" w:rsidP="00301F84">
            <w:pPr>
              <w:jc w:val="center"/>
              <w:rPr>
                <w:rFonts w:ascii="Tahoma" w:hAnsi="Tahoma" w:cs="Tahoma"/>
                <w:sz w:val="20"/>
                <w:szCs w:val="20"/>
              </w:rPr>
            </w:pPr>
            <w:r w:rsidRPr="00AB7E1B">
              <w:rPr>
                <w:rFonts w:ascii="Tahoma" w:hAnsi="Tahoma" w:cs="Tahoma"/>
                <w:sz w:val="20"/>
                <w:szCs w:val="20"/>
                <w:lang w:val="es-ES_tradnl"/>
              </w:rPr>
              <w:t>2.89</w:t>
            </w:r>
          </w:p>
        </w:tc>
      </w:tr>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Agosto</w:t>
            </w:r>
          </w:p>
        </w:tc>
        <w:tc>
          <w:tcPr>
            <w:tcW w:w="2668" w:type="dxa"/>
          </w:tcPr>
          <w:p w:rsidR="005447E7" w:rsidRPr="00AB7E1B" w:rsidRDefault="005447E7" w:rsidP="00301F84">
            <w:pPr>
              <w:jc w:val="center"/>
              <w:rPr>
                <w:rFonts w:ascii="Tahoma" w:hAnsi="Tahoma" w:cs="Tahoma"/>
                <w:sz w:val="20"/>
                <w:szCs w:val="20"/>
              </w:rPr>
            </w:pPr>
            <w:r w:rsidRPr="00AB7E1B">
              <w:rPr>
                <w:rFonts w:ascii="Tahoma" w:hAnsi="Tahoma" w:cs="Tahoma"/>
                <w:sz w:val="20"/>
                <w:szCs w:val="20"/>
                <w:lang w:val="es-ES_tradnl"/>
              </w:rPr>
              <w:t>2.92</w:t>
            </w:r>
          </w:p>
        </w:tc>
      </w:tr>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Setiembre</w:t>
            </w:r>
          </w:p>
        </w:tc>
        <w:tc>
          <w:tcPr>
            <w:tcW w:w="2668" w:type="dxa"/>
          </w:tcPr>
          <w:p w:rsidR="005447E7" w:rsidRPr="00AB7E1B" w:rsidRDefault="005447E7" w:rsidP="00301F84">
            <w:pPr>
              <w:jc w:val="center"/>
              <w:rPr>
                <w:rFonts w:ascii="Tahoma" w:hAnsi="Tahoma" w:cs="Tahoma"/>
                <w:sz w:val="20"/>
                <w:szCs w:val="20"/>
              </w:rPr>
            </w:pPr>
            <w:r w:rsidRPr="00AB7E1B">
              <w:rPr>
                <w:rFonts w:ascii="Tahoma" w:hAnsi="Tahoma" w:cs="Tahoma"/>
                <w:sz w:val="20"/>
                <w:szCs w:val="20"/>
                <w:lang w:val="es-ES_tradnl"/>
              </w:rPr>
              <w:t>2.93</w:t>
            </w:r>
          </w:p>
        </w:tc>
      </w:tr>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Octubre</w:t>
            </w:r>
          </w:p>
        </w:tc>
        <w:tc>
          <w:tcPr>
            <w:tcW w:w="2668" w:type="dxa"/>
          </w:tcPr>
          <w:p w:rsidR="005447E7" w:rsidRPr="00AB7E1B" w:rsidRDefault="005447E7" w:rsidP="00301F84">
            <w:pPr>
              <w:jc w:val="center"/>
              <w:rPr>
                <w:rFonts w:ascii="Tahoma" w:hAnsi="Tahoma" w:cs="Tahoma"/>
                <w:sz w:val="20"/>
                <w:szCs w:val="20"/>
              </w:rPr>
            </w:pPr>
            <w:r w:rsidRPr="00AB7E1B">
              <w:rPr>
                <w:rFonts w:ascii="Tahoma" w:hAnsi="Tahoma" w:cs="Tahoma"/>
                <w:sz w:val="20"/>
                <w:szCs w:val="20"/>
                <w:lang w:val="es-ES_tradnl"/>
              </w:rPr>
              <w:t>2.94</w:t>
            </w:r>
          </w:p>
        </w:tc>
      </w:tr>
    </w:tbl>
    <w:p w:rsidR="005447E7" w:rsidRPr="00AB7E1B" w:rsidRDefault="005447E7" w:rsidP="005447E7">
      <w:pPr>
        <w:contextualSpacing/>
        <w:jc w:val="both"/>
        <w:rPr>
          <w:rFonts w:ascii="Tahoma" w:hAnsi="Tahoma" w:cs="Tahoma"/>
          <w:sz w:val="20"/>
          <w:szCs w:val="20"/>
        </w:rPr>
      </w:pPr>
    </w:p>
    <w:p w:rsidR="005447E7" w:rsidRPr="00AB7E1B" w:rsidRDefault="005447E7" w:rsidP="005447E7">
      <w:pPr>
        <w:pStyle w:val="Prrafodelista"/>
        <w:widowControl/>
        <w:numPr>
          <w:ilvl w:val="0"/>
          <w:numId w:val="6"/>
        </w:numPr>
        <w:suppressAutoHyphens w:val="0"/>
        <w:ind w:left="567" w:hanging="567"/>
        <w:contextualSpacing/>
        <w:jc w:val="both"/>
        <w:rPr>
          <w:rFonts w:ascii="Tahoma" w:hAnsi="Tahoma" w:cs="Tahoma"/>
          <w:sz w:val="20"/>
        </w:rPr>
      </w:pPr>
      <w:r w:rsidRPr="00AB7E1B">
        <w:rPr>
          <w:rFonts w:ascii="Tahoma" w:hAnsi="Tahoma" w:cs="Tahoma"/>
          <w:sz w:val="20"/>
        </w:rPr>
        <w:t xml:space="preserve">Cabe advertir del Acta Nº 005-2010/31ª Brig Inf/CE registrada en el SECAE, que el 16 de abril de 2010, se llevó a cabo la puja correspondiente para el bien arroz pilado cuyo valor referencial por kilo fue establecido en S/. 2.09, otorgándose la buena pro a la Contratista, quien ofertó el bien en S/.1.4678502 por kilo dejando atrás a los demás postores, las empresas Distribuidora y Comercializadora EL Poderoso Cautivo, cuyo último lance fue de S/.1.62 el kilo y la empresa Olmos NG Peru SAC, con un lance de S/.1.49 el kilo. </w:t>
      </w:r>
    </w:p>
    <w:p w:rsidR="005447E7" w:rsidRPr="00AB7E1B" w:rsidRDefault="005447E7" w:rsidP="005447E7">
      <w:pPr>
        <w:pStyle w:val="Prrafodelista"/>
        <w:ind w:left="567"/>
        <w:contextualSpacing/>
        <w:jc w:val="both"/>
        <w:rPr>
          <w:rFonts w:ascii="Tahoma" w:hAnsi="Tahoma" w:cs="Tahoma"/>
          <w:sz w:val="20"/>
        </w:rPr>
      </w:pPr>
    </w:p>
    <w:p w:rsidR="005447E7" w:rsidRPr="00AB7E1B" w:rsidRDefault="005447E7" w:rsidP="005447E7">
      <w:pPr>
        <w:pStyle w:val="Prrafodelista"/>
        <w:widowControl/>
        <w:numPr>
          <w:ilvl w:val="0"/>
          <w:numId w:val="6"/>
        </w:numPr>
        <w:suppressAutoHyphens w:val="0"/>
        <w:ind w:left="567" w:hanging="567"/>
        <w:contextualSpacing/>
        <w:jc w:val="both"/>
        <w:rPr>
          <w:rFonts w:ascii="Tahoma" w:hAnsi="Tahoma" w:cs="Tahoma"/>
          <w:sz w:val="20"/>
        </w:rPr>
      </w:pPr>
      <w:r w:rsidRPr="00AB7E1B">
        <w:rPr>
          <w:rFonts w:ascii="Tahoma" w:hAnsi="Tahoma" w:cs="Tahoma"/>
          <w:sz w:val="20"/>
        </w:rPr>
        <w:t>Como consecuencia del otorgamiento de la buena pro la Contratista suscribió contrato el 04 de mayo de 2010 con la Entidad, a fin que suministre el bien ofertado desde mayo de 2010 hasta abril de 2011. Sin embargo, ésta no cumplió con las entregas debidas desde el mes de setiembre en adelante, aduciendo que el incremento en el precio del arroz en el mercado lo perjudicaba económicamente, de manera tal, que no podía seguir cumpliendo con la obligación asumida.</w:t>
      </w:r>
    </w:p>
    <w:p w:rsidR="005447E7" w:rsidRPr="00AB7E1B" w:rsidRDefault="005447E7" w:rsidP="005447E7">
      <w:pPr>
        <w:pStyle w:val="Prrafodelista"/>
        <w:ind w:left="567"/>
        <w:contextualSpacing/>
        <w:jc w:val="both"/>
        <w:rPr>
          <w:rFonts w:ascii="Tahoma" w:hAnsi="Tahoma" w:cs="Tahoma"/>
          <w:sz w:val="20"/>
        </w:rPr>
      </w:pPr>
    </w:p>
    <w:p w:rsidR="005447E7" w:rsidRPr="00AB7E1B" w:rsidRDefault="005447E7" w:rsidP="005447E7">
      <w:pPr>
        <w:pStyle w:val="Prrafodelista"/>
        <w:widowControl/>
        <w:numPr>
          <w:ilvl w:val="0"/>
          <w:numId w:val="6"/>
        </w:numPr>
        <w:suppressAutoHyphens w:val="0"/>
        <w:ind w:left="567" w:hanging="567"/>
        <w:contextualSpacing/>
        <w:jc w:val="both"/>
        <w:rPr>
          <w:rFonts w:ascii="Tahoma" w:hAnsi="Tahoma" w:cs="Tahoma"/>
          <w:b/>
          <w:sz w:val="20"/>
        </w:rPr>
      </w:pPr>
      <w:r w:rsidRPr="00AB7E1B">
        <w:rPr>
          <w:rFonts w:ascii="Tahoma" w:hAnsi="Tahoma" w:cs="Tahoma"/>
          <w:sz w:val="20"/>
        </w:rPr>
        <w:t>En vista de lo argumentado, este Tribunal solicitó información al INEI a fin de conocer el precio promedio del arroz pilado durante el año 2010 y así realizar un análisis comparativo y concluyente a fin de determinar si lo manifestado por la Contratista resulta respaldable por el área de estudios económicos del INEI y verificar, finalmente si lo ofertado reviste la debida correspondencia con la realidad del mercado en el momento de la puja, en virtud de la información brindada por dicha entidad, y que fue con posterioridad a ello que se produjo el alza significativa de precios del bien, lo que resultaría en la liberación de la responsabilidad de la Contratista.</w:t>
      </w:r>
    </w:p>
    <w:p w:rsidR="005447E7" w:rsidRPr="00AB7E1B" w:rsidRDefault="005447E7" w:rsidP="005447E7">
      <w:pPr>
        <w:pStyle w:val="Prrafodelista"/>
        <w:rPr>
          <w:rFonts w:ascii="Tahoma" w:hAnsi="Tahoma" w:cs="Tahoma"/>
          <w:b/>
          <w:sz w:val="20"/>
        </w:rPr>
      </w:pPr>
    </w:p>
    <w:p w:rsidR="005447E7" w:rsidRPr="00AB7E1B" w:rsidRDefault="005447E7" w:rsidP="005447E7">
      <w:pPr>
        <w:pStyle w:val="Lista3"/>
        <w:numPr>
          <w:ilvl w:val="0"/>
          <w:numId w:val="6"/>
        </w:numPr>
        <w:spacing w:after="0" w:line="240" w:lineRule="auto"/>
        <w:ind w:left="567" w:hanging="567"/>
        <w:jc w:val="both"/>
        <w:rPr>
          <w:rFonts w:ascii="Tahoma" w:hAnsi="Tahoma" w:cs="Tahoma"/>
          <w:sz w:val="20"/>
          <w:szCs w:val="20"/>
          <w:lang w:val="es-ES_tradnl"/>
        </w:rPr>
      </w:pPr>
      <w:r w:rsidRPr="00AB7E1B">
        <w:rPr>
          <w:rFonts w:ascii="Tahoma" w:hAnsi="Tahoma" w:cs="Tahoma"/>
          <w:sz w:val="20"/>
          <w:szCs w:val="20"/>
          <w:lang w:val="es-ES_tradnl"/>
        </w:rPr>
        <w:t>Sobre el particular, el INEI mediante Oficio Nº 115-2011-INEI/DTIE remitió la información solicitada señalando:</w:t>
      </w:r>
    </w:p>
    <w:p w:rsidR="005447E7" w:rsidRPr="00AB7E1B" w:rsidRDefault="005447E7" w:rsidP="005447E7">
      <w:pPr>
        <w:pStyle w:val="Prrafodelista"/>
        <w:ind w:left="567"/>
        <w:contextualSpacing/>
        <w:jc w:val="center"/>
        <w:rPr>
          <w:rFonts w:ascii="Tahoma" w:hAnsi="Tahoma" w:cs="Tahoma"/>
          <w:b/>
          <w:sz w:val="20"/>
        </w:rPr>
      </w:pPr>
    </w:p>
    <w:p w:rsidR="005447E7" w:rsidRPr="00AB7E1B" w:rsidRDefault="005447E7" w:rsidP="005447E7">
      <w:pPr>
        <w:pStyle w:val="Lista3"/>
        <w:spacing w:after="0" w:line="240" w:lineRule="auto"/>
        <w:jc w:val="center"/>
        <w:rPr>
          <w:rFonts w:ascii="Tahoma" w:hAnsi="Tahoma" w:cs="Tahoma"/>
          <w:b/>
          <w:sz w:val="20"/>
          <w:szCs w:val="20"/>
          <w:lang w:val="es-ES_tradnl"/>
        </w:rPr>
      </w:pPr>
      <w:r w:rsidRPr="00AB7E1B">
        <w:rPr>
          <w:rFonts w:ascii="Tahoma" w:hAnsi="Tahoma" w:cs="Tahoma"/>
          <w:b/>
          <w:sz w:val="20"/>
          <w:szCs w:val="20"/>
          <w:lang w:val="es-ES_tradnl"/>
        </w:rPr>
        <w:t>PRECIO PROMEDIO MENSUAL DEL ARROZ SUPERIOR EN EL INDICE DE PRECIOS AL POR MAYOR</w:t>
      </w:r>
    </w:p>
    <w:p w:rsidR="005447E7" w:rsidRPr="00AB7E1B" w:rsidRDefault="005447E7" w:rsidP="005447E7">
      <w:pPr>
        <w:pStyle w:val="Lista3"/>
        <w:spacing w:after="0" w:line="240" w:lineRule="auto"/>
        <w:jc w:val="center"/>
        <w:rPr>
          <w:rFonts w:ascii="Tahoma" w:hAnsi="Tahoma" w:cs="Tahoma"/>
          <w:b/>
          <w:sz w:val="20"/>
          <w:szCs w:val="20"/>
          <w:lang w:val="es-ES_tradnl"/>
        </w:rPr>
      </w:pPr>
      <w:r w:rsidRPr="00AB7E1B">
        <w:rPr>
          <w:rFonts w:ascii="Tahoma" w:hAnsi="Tahoma" w:cs="Tahoma"/>
          <w:b/>
          <w:sz w:val="20"/>
          <w:szCs w:val="20"/>
          <w:lang w:val="es-ES_tradnl"/>
        </w:rPr>
        <w:t>PERIODO ENERO - DICIEMBRE 2010</w:t>
      </w:r>
    </w:p>
    <w:p w:rsidR="005447E7" w:rsidRPr="00AB7E1B" w:rsidRDefault="005447E7" w:rsidP="005447E7">
      <w:pPr>
        <w:pStyle w:val="Lista3"/>
        <w:spacing w:after="0" w:line="240" w:lineRule="auto"/>
        <w:jc w:val="center"/>
        <w:rPr>
          <w:rFonts w:ascii="Tahoma" w:hAnsi="Tahoma" w:cs="Tahoma"/>
          <w:b/>
          <w:sz w:val="20"/>
          <w:szCs w:val="20"/>
          <w:lang w:val="es-ES_tradnl"/>
        </w:rPr>
      </w:pPr>
      <w:r w:rsidRPr="00AB7E1B">
        <w:rPr>
          <w:rFonts w:ascii="Tahoma" w:hAnsi="Tahoma" w:cs="Tahoma"/>
          <w:b/>
          <w:sz w:val="20"/>
          <w:szCs w:val="20"/>
          <w:lang w:val="es-ES_tradnl"/>
        </w:rPr>
        <w:t>(Nuevos Soles por bolsa de 12 kilogramos)</w:t>
      </w:r>
    </w:p>
    <w:tbl>
      <w:tblPr>
        <w:tblStyle w:val="Tablaconcuadrcula"/>
        <w:tblW w:w="0" w:type="auto"/>
        <w:tblInd w:w="2093" w:type="dxa"/>
        <w:tblLook w:val="04A0"/>
      </w:tblPr>
      <w:tblGrid>
        <w:gridCol w:w="2270"/>
        <w:gridCol w:w="2807"/>
      </w:tblGrid>
      <w:tr w:rsidR="005447E7" w:rsidRPr="00AB7E1B" w:rsidTr="00301F84">
        <w:trPr>
          <w:trHeight w:val="484"/>
        </w:trPr>
        <w:tc>
          <w:tcPr>
            <w:tcW w:w="2270" w:type="dxa"/>
          </w:tcPr>
          <w:p w:rsidR="005447E7" w:rsidRPr="00AB7E1B" w:rsidRDefault="005447E7" w:rsidP="00301F84">
            <w:pPr>
              <w:pStyle w:val="Lista3"/>
              <w:spacing w:after="0" w:line="240" w:lineRule="auto"/>
              <w:ind w:left="0" w:firstLine="0"/>
              <w:jc w:val="center"/>
              <w:rPr>
                <w:rFonts w:ascii="Tahoma" w:hAnsi="Tahoma" w:cs="Tahoma"/>
                <w:b/>
                <w:sz w:val="20"/>
                <w:szCs w:val="20"/>
                <w:lang w:val="es-ES_tradnl"/>
              </w:rPr>
            </w:pPr>
            <w:r w:rsidRPr="00AB7E1B">
              <w:rPr>
                <w:rFonts w:ascii="Tahoma" w:hAnsi="Tahoma" w:cs="Tahoma"/>
                <w:b/>
                <w:sz w:val="20"/>
                <w:szCs w:val="20"/>
                <w:lang w:val="es-ES_tradnl"/>
              </w:rPr>
              <w:t>Mes</w:t>
            </w:r>
          </w:p>
        </w:tc>
        <w:tc>
          <w:tcPr>
            <w:tcW w:w="2807" w:type="dxa"/>
          </w:tcPr>
          <w:p w:rsidR="005447E7" w:rsidRPr="00AB7E1B" w:rsidRDefault="005447E7" w:rsidP="00301F84">
            <w:pPr>
              <w:pStyle w:val="Lista3"/>
              <w:spacing w:after="0" w:line="240" w:lineRule="auto"/>
              <w:ind w:left="0" w:firstLine="0"/>
              <w:jc w:val="center"/>
              <w:rPr>
                <w:rFonts w:ascii="Tahoma" w:hAnsi="Tahoma" w:cs="Tahoma"/>
                <w:b/>
                <w:sz w:val="20"/>
                <w:szCs w:val="20"/>
                <w:lang w:val="es-ES_tradnl"/>
              </w:rPr>
            </w:pPr>
            <w:r w:rsidRPr="00AB7E1B">
              <w:rPr>
                <w:rFonts w:ascii="Tahoma" w:hAnsi="Tahoma" w:cs="Tahoma"/>
                <w:b/>
                <w:sz w:val="20"/>
                <w:szCs w:val="20"/>
                <w:lang w:val="es-ES_tradnl"/>
              </w:rPr>
              <w:t>Arroz envasado superior por 12 kg</w:t>
            </w:r>
          </w:p>
        </w:tc>
      </w:tr>
      <w:tr w:rsidR="005447E7" w:rsidRPr="00AB7E1B" w:rsidTr="00301F84">
        <w:trPr>
          <w:trHeight w:val="247"/>
        </w:trPr>
        <w:tc>
          <w:tcPr>
            <w:tcW w:w="2270" w:type="dxa"/>
          </w:tcPr>
          <w:p w:rsidR="005447E7" w:rsidRPr="00AB7E1B" w:rsidRDefault="005447E7" w:rsidP="00AB7E1B">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Enero</w:t>
            </w:r>
          </w:p>
        </w:tc>
        <w:tc>
          <w:tcPr>
            <w:tcW w:w="2807"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35.81</w:t>
            </w:r>
          </w:p>
        </w:tc>
      </w:tr>
      <w:tr w:rsidR="005447E7" w:rsidRPr="00AB7E1B" w:rsidTr="00301F84">
        <w:trPr>
          <w:trHeight w:val="247"/>
        </w:trPr>
        <w:tc>
          <w:tcPr>
            <w:tcW w:w="2270" w:type="dxa"/>
          </w:tcPr>
          <w:p w:rsidR="005447E7" w:rsidRPr="00AB7E1B" w:rsidRDefault="005447E7" w:rsidP="00AB7E1B">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Febrero</w:t>
            </w:r>
          </w:p>
        </w:tc>
        <w:tc>
          <w:tcPr>
            <w:tcW w:w="2807"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34.83</w:t>
            </w:r>
          </w:p>
        </w:tc>
      </w:tr>
      <w:tr w:rsidR="005447E7" w:rsidRPr="00AB7E1B" w:rsidTr="00301F84">
        <w:trPr>
          <w:trHeight w:val="237"/>
        </w:trPr>
        <w:tc>
          <w:tcPr>
            <w:tcW w:w="2270" w:type="dxa"/>
          </w:tcPr>
          <w:p w:rsidR="005447E7" w:rsidRPr="00AB7E1B" w:rsidRDefault="005447E7" w:rsidP="00AB7E1B">
            <w:pPr>
              <w:pStyle w:val="Lista3"/>
              <w:tabs>
                <w:tab w:val="center" w:pos="1193"/>
                <w:tab w:val="right" w:pos="2386"/>
              </w:tabs>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Marzo</w:t>
            </w:r>
          </w:p>
        </w:tc>
        <w:tc>
          <w:tcPr>
            <w:tcW w:w="2807"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34.83</w:t>
            </w:r>
          </w:p>
        </w:tc>
      </w:tr>
      <w:tr w:rsidR="005447E7" w:rsidRPr="00AB7E1B" w:rsidTr="00301F84">
        <w:trPr>
          <w:trHeight w:val="247"/>
        </w:trPr>
        <w:tc>
          <w:tcPr>
            <w:tcW w:w="2270" w:type="dxa"/>
          </w:tcPr>
          <w:p w:rsidR="005447E7" w:rsidRPr="00AB7E1B" w:rsidRDefault="005447E7" w:rsidP="00AB7E1B">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Abril</w:t>
            </w:r>
          </w:p>
        </w:tc>
        <w:tc>
          <w:tcPr>
            <w:tcW w:w="2807"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35.59</w:t>
            </w:r>
          </w:p>
        </w:tc>
      </w:tr>
      <w:tr w:rsidR="005447E7" w:rsidRPr="00AB7E1B" w:rsidTr="00301F84">
        <w:trPr>
          <w:trHeight w:val="237"/>
        </w:trPr>
        <w:tc>
          <w:tcPr>
            <w:tcW w:w="2270" w:type="dxa"/>
          </w:tcPr>
          <w:p w:rsidR="005447E7" w:rsidRPr="00AB7E1B" w:rsidRDefault="005447E7" w:rsidP="00AB7E1B">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Mayo</w:t>
            </w:r>
          </w:p>
        </w:tc>
        <w:tc>
          <w:tcPr>
            <w:tcW w:w="2807"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35.64</w:t>
            </w:r>
          </w:p>
        </w:tc>
      </w:tr>
      <w:tr w:rsidR="005447E7" w:rsidRPr="00AB7E1B" w:rsidTr="00301F84">
        <w:trPr>
          <w:trHeight w:val="247"/>
        </w:trPr>
        <w:tc>
          <w:tcPr>
            <w:tcW w:w="2270" w:type="dxa"/>
          </w:tcPr>
          <w:p w:rsidR="005447E7" w:rsidRPr="00AB7E1B" w:rsidRDefault="005447E7" w:rsidP="00AB7E1B">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Junio</w:t>
            </w:r>
          </w:p>
        </w:tc>
        <w:tc>
          <w:tcPr>
            <w:tcW w:w="2807"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34.97</w:t>
            </w:r>
          </w:p>
        </w:tc>
      </w:tr>
      <w:tr w:rsidR="005447E7" w:rsidRPr="00AB7E1B" w:rsidTr="00301F84">
        <w:trPr>
          <w:trHeight w:val="237"/>
        </w:trPr>
        <w:tc>
          <w:tcPr>
            <w:tcW w:w="2270" w:type="dxa"/>
          </w:tcPr>
          <w:p w:rsidR="005447E7" w:rsidRPr="00AB7E1B" w:rsidRDefault="005447E7" w:rsidP="00AB7E1B">
            <w:pPr>
              <w:pStyle w:val="Lista3"/>
              <w:tabs>
                <w:tab w:val="center" w:pos="1193"/>
                <w:tab w:val="right" w:pos="2386"/>
              </w:tabs>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Julio</w:t>
            </w:r>
          </w:p>
        </w:tc>
        <w:tc>
          <w:tcPr>
            <w:tcW w:w="2807"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34.75</w:t>
            </w:r>
          </w:p>
        </w:tc>
      </w:tr>
      <w:tr w:rsidR="005447E7" w:rsidRPr="00AB7E1B" w:rsidTr="00301F84">
        <w:trPr>
          <w:trHeight w:val="247"/>
        </w:trPr>
        <w:tc>
          <w:tcPr>
            <w:tcW w:w="2270" w:type="dxa"/>
          </w:tcPr>
          <w:p w:rsidR="005447E7" w:rsidRPr="00AB7E1B" w:rsidRDefault="005447E7" w:rsidP="00AB7E1B">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Agosto</w:t>
            </w:r>
          </w:p>
        </w:tc>
        <w:tc>
          <w:tcPr>
            <w:tcW w:w="2807"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35.13</w:t>
            </w:r>
          </w:p>
        </w:tc>
      </w:tr>
      <w:tr w:rsidR="005447E7" w:rsidRPr="00AB7E1B" w:rsidTr="00301F84">
        <w:trPr>
          <w:trHeight w:val="237"/>
        </w:trPr>
        <w:tc>
          <w:tcPr>
            <w:tcW w:w="2270"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lastRenderedPageBreak/>
              <w:t>Setiembre</w:t>
            </w:r>
          </w:p>
        </w:tc>
        <w:tc>
          <w:tcPr>
            <w:tcW w:w="2807"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35.26</w:t>
            </w:r>
          </w:p>
        </w:tc>
      </w:tr>
      <w:tr w:rsidR="005447E7" w:rsidRPr="00AB7E1B" w:rsidTr="00301F84">
        <w:trPr>
          <w:trHeight w:val="247"/>
        </w:trPr>
        <w:tc>
          <w:tcPr>
            <w:tcW w:w="2270"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Octubre</w:t>
            </w:r>
          </w:p>
        </w:tc>
        <w:tc>
          <w:tcPr>
            <w:tcW w:w="2807"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35.30</w:t>
            </w:r>
          </w:p>
        </w:tc>
      </w:tr>
      <w:tr w:rsidR="005447E7" w:rsidRPr="00AB7E1B" w:rsidTr="00301F84">
        <w:trPr>
          <w:trHeight w:val="237"/>
        </w:trPr>
        <w:tc>
          <w:tcPr>
            <w:tcW w:w="2270"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Noviembre</w:t>
            </w:r>
          </w:p>
        </w:tc>
        <w:tc>
          <w:tcPr>
            <w:tcW w:w="2807"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35.44</w:t>
            </w:r>
          </w:p>
        </w:tc>
      </w:tr>
      <w:tr w:rsidR="005447E7" w:rsidRPr="00AB7E1B" w:rsidTr="00301F84">
        <w:trPr>
          <w:trHeight w:val="247"/>
        </w:trPr>
        <w:tc>
          <w:tcPr>
            <w:tcW w:w="2270"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Diciembre</w:t>
            </w:r>
          </w:p>
        </w:tc>
        <w:tc>
          <w:tcPr>
            <w:tcW w:w="2807"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35.35</w:t>
            </w:r>
          </w:p>
        </w:tc>
      </w:tr>
    </w:tbl>
    <w:p w:rsidR="005447E7" w:rsidRPr="00AB7E1B" w:rsidRDefault="005447E7" w:rsidP="005447E7">
      <w:pPr>
        <w:contextualSpacing/>
        <w:jc w:val="both"/>
        <w:rPr>
          <w:rFonts w:ascii="Tahoma" w:hAnsi="Tahoma" w:cs="Tahoma"/>
          <w:sz w:val="20"/>
          <w:szCs w:val="20"/>
        </w:rPr>
      </w:pPr>
    </w:p>
    <w:p w:rsidR="005447E7" w:rsidRPr="00AB7E1B" w:rsidRDefault="005447E7" w:rsidP="005447E7">
      <w:pPr>
        <w:pStyle w:val="Prrafodelista"/>
        <w:widowControl/>
        <w:numPr>
          <w:ilvl w:val="0"/>
          <w:numId w:val="6"/>
        </w:numPr>
        <w:suppressAutoHyphens w:val="0"/>
        <w:ind w:left="567" w:hanging="567"/>
        <w:contextualSpacing/>
        <w:jc w:val="both"/>
        <w:rPr>
          <w:rFonts w:ascii="Tahoma" w:hAnsi="Tahoma" w:cs="Tahoma"/>
          <w:sz w:val="20"/>
        </w:rPr>
      </w:pPr>
      <w:r w:rsidRPr="00AB7E1B">
        <w:rPr>
          <w:rFonts w:ascii="Tahoma" w:hAnsi="Tahoma" w:cs="Tahoma"/>
          <w:sz w:val="20"/>
        </w:rPr>
        <w:t>Teniendo en cuenta la información remitida por el INEI se advierte que el precio promedio mensual para el bien, arroz SUPERIOR, por kilo, equivale a los siguiente:</w:t>
      </w:r>
    </w:p>
    <w:p w:rsidR="005447E7" w:rsidRPr="00AB7E1B" w:rsidRDefault="005447E7" w:rsidP="005447E7">
      <w:pPr>
        <w:pStyle w:val="Prrafodelista"/>
        <w:rPr>
          <w:rFonts w:ascii="Tahoma" w:hAnsi="Tahoma" w:cs="Tahoma"/>
          <w:sz w:val="20"/>
        </w:rPr>
      </w:pPr>
    </w:p>
    <w:tbl>
      <w:tblPr>
        <w:tblStyle w:val="Tablaconcuadrcula"/>
        <w:tblW w:w="0" w:type="auto"/>
        <w:tblInd w:w="2090" w:type="dxa"/>
        <w:tblLook w:val="04A0"/>
      </w:tblPr>
      <w:tblGrid>
        <w:gridCol w:w="2602"/>
        <w:gridCol w:w="2668"/>
      </w:tblGrid>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b/>
                <w:sz w:val="20"/>
                <w:szCs w:val="20"/>
                <w:lang w:val="es-ES_tradnl"/>
              </w:rPr>
            </w:pPr>
            <w:r w:rsidRPr="00AB7E1B">
              <w:rPr>
                <w:rFonts w:ascii="Tahoma" w:hAnsi="Tahoma" w:cs="Tahoma"/>
                <w:b/>
                <w:sz w:val="20"/>
                <w:szCs w:val="20"/>
                <w:lang w:val="es-ES_tradnl"/>
              </w:rPr>
              <w:t>Mes</w:t>
            </w:r>
          </w:p>
        </w:tc>
        <w:tc>
          <w:tcPr>
            <w:tcW w:w="2668" w:type="dxa"/>
          </w:tcPr>
          <w:p w:rsidR="005447E7" w:rsidRPr="00AB7E1B" w:rsidRDefault="005447E7" w:rsidP="00301F84">
            <w:pPr>
              <w:pStyle w:val="Lista3"/>
              <w:spacing w:after="0" w:line="240" w:lineRule="auto"/>
              <w:ind w:left="0" w:firstLine="0"/>
              <w:jc w:val="center"/>
              <w:rPr>
                <w:rFonts w:ascii="Tahoma" w:hAnsi="Tahoma" w:cs="Tahoma"/>
                <w:b/>
                <w:sz w:val="20"/>
                <w:szCs w:val="20"/>
                <w:lang w:val="es-ES_tradnl"/>
              </w:rPr>
            </w:pPr>
            <w:r w:rsidRPr="00AB7E1B">
              <w:rPr>
                <w:rFonts w:ascii="Tahoma" w:hAnsi="Tahoma" w:cs="Tahoma"/>
                <w:b/>
                <w:sz w:val="20"/>
                <w:szCs w:val="20"/>
                <w:lang w:val="es-ES_tradnl"/>
              </w:rPr>
              <w:t>Arroz superior por  kg</w:t>
            </w:r>
          </w:p>
        </w:tc>
      </w:tr>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Enero</w:t>
            </w:r>
          </w:p>
        </w:tc>
        <w:tc>
          <w:tcPr>
            <w:tcW w:w="2668"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2.98</w:t>
            </w:r>
          </w:p>
        </w:tc>
      </w:tr>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Febrero</w:t>
            </w:r>
          </w:p>
        </w:tc>
        <w:tc>
          <w:tcPr>
            <w:tcW w:w="2668"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2.90</w:t>
            </w:r>
          </w:p>
        </w:tc>
      </w:tr>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Marzo</w:t>
            </w:r>
          </w:p>
        </w:tc>
        <w:tc>
          <w:tcPr>
            <w:tcW w:w="2668" w:type="dxa"/>
          </w:tcPr>
          <w:p w:rsidR="005447E7" w:rsidRPr="00AB7E1B" w:rsidRDefault="005447E7" w:rsidP="00301F84">
            <w:pPr>
              <w:jc w:val="center"/>
              <w:rPr>
                <w:rFonts w:ascii="Tahoma" w:hAnsi="Tahoma" w:cs="Tahoma"/>
                <w:sz w:val="20"/>
                <w:szCs w:val="20"/>
              </w:rPr>
            </w:pPr>
            <w:r w:rsidRPr="00AB7E1B">
              <w:rPr>
                <w:rFonts w:ascii="Tahoma" w:hAnsi="Tahoma" w:cs="Tahoma"/>
                <w:sz w:val="20"/>
                <w:szCs w:val="20"/>
                <w:lang w:val="es-ES_tradnl"/>
              </w:rPr>
              <w:t>2.90</w:t>
            </w:r>
          </w:p>
        </w:tc>
      </w:tr>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Abril</w:t>
            </w:r>
          </w:p>
        </w:tc>
        <w:tc>
          <w:tcPr>
            <w:tcW w:w="2668" w:type="dxa"/>
          </w:tcPr>
          <w:p w:rsidR="005447E7" w:rsidRPr="00AB7E1B" w:rsidRDefault="005447E7" w:rsidP="00301F84">
            <w:pPr>
              <w:jc w:val="center"/>
              <w:rPr>
                <w:rFonts w:ascii="Tahoma" w:hAnsi="Tahoma" w:cs="Tahoma"/>
                <w:sz w:val="20"/>
                <w:szCs w:val="20"/>
              </w:rPr>
            </w:pPr>
            <w:r w:rsidRPr="00AB7E1B">
              <w:rPr>
                <w:rFonts w:ascii="Tahoma" w:hAnsi="Tahoma" w:cs="Tahoma"/>
                <w:sz w:val="20"/>
                <w:szCs w:val="20"/>
                <w:lang w:val="es-ES_tradnl"/>
              </w:rPr>
              <w:t>2.96</w:t>
            </w:r>
          </w:p>
        </w:tc>
      </w:tr>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Mayo</w:t>
            </w:r>
          </w:p>
        </w:tc>
        <w:tc>
          <w:tcPr>
            <w:tcW w:w="2668"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2.97</w:t>
            </w:r>
          </w:p>
        </w:tc>
      </w:tr>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Junio</w:t>
            </w:r>
          </w:p>
        </w:tc>
        <w:tc>
          <w:tcPr>
            <w:tcW w:w="2668"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2.91</w:t>
            </w:r>
          </w:p>
        </w:tc>
      </w:tr>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Julio</w:t>
            </w:r>
          </w:p>
        </w:tc>
        <w:tc>
          <w:tcPr>
            <w:tcW w:w="2668" w:type="dxa"/>
          </w:tcPr>
          <w:p w:rsidR="005447E7" w:rsidRPr="00AB7E1B" w:rsidRDefault="005447E7" w:rsidP="00301F84">
            <w:pPr>
              <w:jc w:val="center"/>
              <w:rPr>
                <w:rFonts w:ascii="Tahoma" w:hAnsi="Tahoma" w:cs="Tahoma"/>
                <w:sz w:val="20"/>
                <w:szCs w:val="20"/>
              </w:rPr>
            </w:pPr>
            <w:r w:rsidRPr="00AB7E1B">
              <w:rPr>
                <w:rFonts w:ascii="Tahoma" w:hAnsi="Tahoma" w:cs="Tahoma"/>
                <w:sz w:val="20"/>
                <w:szCs w:val="20"/>
                <w:lang w:val="es-ES_tradnl"/>
              </w:rPr>
              <w:t>2.89</w:t>
            </w:r>
          </w:p>
        </w:tc>
      </w:tr>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Agosto</w:t>
            </w:r>
          </w:p>
        </w:tc>
        <w:tc>
          <w:tcPr>
            <w:tcW w:w="2668" w:type="dxa"/>
          </w:tcPr>
          <w:p w:rsidR="005447E7" w:rsidRPr="00AB7E1B" w:rsidRDefault="005447E7" w:rsidP="00301F84">
            <w:pPr>
              <w:jc w:val="center"/>
              <w:rPr>
                <w:rFonts w:ascii="Tahoma" w:hAnsi="Tahoma" w:cs="Tahoma"/>
                <w:sz w:val="20"/>
                <w:szCs w:val="20"/>
              </w:rPr>
            </w:pPr>
            <w:r w:rsidRPr="00AB7E1B">
              <w:rPr>
                <w:rFonts w:ascii="Tahoma" w:hAnsi="Tahoma" w:cs="Tahoma"/>
                <w:sz w:val="20"/>
                <w:szCs w:val="20"/>
                <w:lang w:val="es-ES_tradnl"/>
              </w:rPr>
              <w:t>2.92</w:t>
            </w:r>
          </w:p>
        </w:tc>
      </w:tr>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Setiembre</w:t>
            </w:r>
          </w:p>
        </w:tc>
        <w:tc>
          <w:tcPr>
            <w:tcW w:w="2668" w:type="dxa"/>
          </w:tcPr>
          <w:p w:rsidR="005447E7" w:rsidRPr="00AB7E1B" w:rsidRDefault="005447E7" w:rsidP="00301F84">
            <w:pPr>
              <w:jc w:val="center"/>
              <w:rPr>
                <w:rFonts w:ascii="Tahoma" w:hAnsi="Tahoma" w:cs="Tahoma"/>
                <w:sz w:val="20"/>
                <w:szCs w:val="20"/>
              </w:rPr>
            </w:pPr>
            <w:r w:rsidRPr="00AB7E1B">
              <w:rPr>
                <w:rFonts w:ascii="Tahoma" w:hAnsi="Tahoma" w:cs="Tahoma"/>
                <w:sz w:val="20"/>
                <w:szCs w:val="20"/>
                <w:lang w:val="es-ES_tradnl"/>
              </w:rPr>
              <w:t>2.93</w:t>
            </w:r>
          </w:p>
        </w:tc>
      </w:tr>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Octubre</w:t>
            </w:r>
          </w:p>
        </w:tc>
        <w:tc>
          <w:tcPr>
            <w:tcW w:w="2668" w:type="dxa"/>
          </w:tcPr>
          <w:p w:rsidR="005447E7" w:rsidRPr="00AB7E1B" w:rsidRDefault="005447E7" w:rsidP="00301F84">
            <w:pPr>
              <w:jc w:val="center"/>
              <w:rPr>
                <w:rFonts w:ascii="Tahoma" w:hAnsi="Tahoma" w:cs="Tahoma"/>
                <w:sz w:val="20"/>
                <w:szCs w:val="20"/>
              </w:rPr>
            </w:pPr>
            <w:r w:rsidRPr="00AB7E1B">
              <w:rPr>
                <w:rFonts w:ascii="Tahoma" w:hAnsi="Tahoma" w:cs="Tahoma"/>
                <w:sz w:val="20"/>
                <w:szCs w:val="20"/>
                <w:lang w:val="es-ES_tradnl"/>
              </w:rPr>
              <w:t>2.94</w:t>
            </w:r>
          </w:p>
        </w:tc>
      </w:tr>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Noviembre</w:t>
            </w:r>
          </w:p>
        </w:tc>
        <w:tc>
          <w:tcPr>
            <w:tcW w:w="2668" w:type="dxa"/>
          </w:tcPr>
          <w:p w:rsidR="005447E7" w:rsidRPr="00AB7E1B" w:rsidRDefault="005447E7" w:rsidP="00301F84">
            <w:pPr>
              <w:jc w:val="center"/>
              <w:rPr>
                <w:rFonts w:ascii="Tahoma" w:hAnsi="Tahoma" w:cs="Tahoma"/>
                <w:sz w:val="20"/>
                <w:szCs w:val="20"/>
              </w:rPr>
            </w:pPr>
            <w:r w:rsidRPr="00AB7E1B">
              <w:rPr>
                <w:rFonts w:ascii="Tahoma" w:hAnsi="Tahoma" w:cs="Tahoma"/>
                <w:sz w:val="20"/>
                <w:szCs w:val="20"/>
                <w:lang w:val="es-ES_tradnl"/>
              </w:rPr>
              <w:t>2.95</w:t>
            </w:r>
          </w:p>
        </w:tc>
      </w:tr>
      <w:tr w:rsidR="005447E7" w:rsidRPr="00AB7E1B" w:rsidTr="00301F84">
        <w:tc>
          <w:tcPr>
            <w:tcW w:w="2602" w:type="dxa"/>
          </w:tcPr>
          <w:p w:rsidR="005447E7" w:rsidRPr="00AB7E1B" w:rsidRDefault="005447E7" w:rsidP="00301F84">
            <w:pPr>
              <w:pStyle w:val="Lista3"/>
              <w:spacing w:after="0" w:line="240" w:lineRule="auto"/>
              <w:ind w:left="0" w:firstLine="0"/>
              <w:jc w:val="center"/>
              <w:rPr>
                <w:rFonts w:ascii="Tahoma" w:hAnsi="Tahoma" w:cs="Tahoma"/>
                <w:sz w:val="20"/>
                <w:szCs w:val="20"/>
                <w:lang w:val="es-ES_tradnl"/>
              </w:rPr>
            </w:pPr>
            <w:r w:rsidRPr="00AB7E1B">
              <w:rPr>
                <w:rFonts w:ascii="Tahoma" w:hAnsi="Tahoma" w:cs="Tahoma"/>
                <w:sz w:val="20"/>
                <w:szCs w:val="20"/>
                <w:lang w:val="es-ES_tradnl"/>
              </w:rPr>
              <w:t>Diciembre</w:t>
            </w:r>
          </w:p>
        </w:tc>
        <w:tc>
          <w:tcPr>
            <w:tcW w:w="2668" w:type="dxa"/>
          </w:tcPr>
          <w:p w:rsidR="005447E7" w:rsidRPr="00AB7E1B" w:rsidRDefault="005447E7" w:rsidP="00301F84">
            <w:pPr>
              <w:jc w:val="center"/>
              <w:rPr>
                <w:rFonts w:ascii="Tahoma" w:hAnsi="Tahoma" w:cs="Tahoma"/>
                <w:sz w:val="20"/>
                <w:szCs w:val="20"/>
              </w:rPr>
            </w:pPr>
            <w:r w:rsidRPr="00AB7E1B">
              <w:rPr>
                <w:rFonts w:ascii="Tahoma" w:hAnsi="Tahoma" w:cs="Tahoma"/>
                <w:sz w:val="20"/>
                <w:szCs w:val="20"/>
                <w:lang w:val="es-ES_tradnl"/>
              </w:rPr>
              <w:t>2.94</w:t>
            </w:r>
          </w:p>
        </w:tc>
      </w:tr>
    </w:tbl>
    <w:p w:rsidR="005447E7" w:rsidRPr="00AB7E1B" w:rsidRDefault="005447E7" w:rsidP="005447E7">
      <w:pPr>
        <w:pStyle w:val="Prrafodelista"/>
        <w:rPr>
          <w:rFonts w:ascii="Tahoma" w:hAnsi="Tahoma" w:cs="Tahoma"/>
          <w:sz w:val="20"/>
        </w:rPr>
      </w:pPr>
    </w:p>
    <w:p w:rsidR="005447E7" w:rsidRPr="00AB7E1B" w:rsidRDefault="005447E7" w:rsidP="005447E7">
      <w:pPr>
        <w:pStyle w:val="Prrafodelista"/>
        <w:widowControl/>
        <w:numPr>
          <w:ilvl w:val="0"/>
          <w:numId w:val="6"/>
        </w:numPr>
        <w:suppressAutoHyphens w:val="0"/>
        <w:ind w:left="567" w:hanging="567"/>
        <w:contextualSpacing/>
        <w:jc w:val="both"/>
        <w:rPr>
          <w:rFonts w:ascii="Tahoma" w:hAnsi="Tahoma" w:cs="Tahoma"/>
          <w:sz w:val="20"/>
        </w:rPr>
      </w:pPr>
      <w:r w:rsidRPr="00AB7E1B">
        <w:rPr>
          <w:rFonts w:ascii="Tahoma" w:hAnsi="Tahoma" w:cs="Tahoma"/>
          <w:sz w:val="20"/>
        </w:rPr>
        <w:t>De la información proporcionada por el INEI se puede advertir que durante todo el año 2010, el precio del kilogramo de arroz superior pilado fluctuó entre S/.2.89 y S/.2.98; por lo tanto, a la fecha de la puja, es decir, al 19 de abril de 2010, el precio promedio mensual de dicho bien (S/.2.96) era muy superior al ofertado por la Contratista  (S/.1.46). En ese sentido, se evidencia que estuvo dentro de la esfera de decisión de la Contratista proceder al momento de la puja con dicho lance, conociendo que de otorgársele la buena pro debía asumir la obligación de entregar periódicamente los bienes materia de convocatoria al precio ofertado; en atención a ello, no escapa a su responsabilidad la desatención de su obligación aduciendo un sorpresivo incremento en el precio del bien, toda vez que durante todo el año 2010 no existió un significativo incremento en el precio, sino por el contrario, el precio ofertado estuvo, comparativamente, muy por debajo del precio promedio del bien en el mes de abril, en el mercado nacional; por lo tanto, resulta atribuible a la Contratista la resolución del Contrato Nº 006-2010-EP/UO 0834.</w:t>
      </w:r>
    </w:p>
    <w:p w:rsidR="005447E7" w:rsidRPr="00AB7E1B" w:rsidRDefault="005447E7" w:rsidP="005447E7">
      <w:pPr>
        <w:pStyle w:val="Prrafodelista"/>
        <w:ind w:left="567"/>
        <w:contextualSpacing/>
        <w:jc w:val="both"/>
        <w:rPr>
          <w:rFonts w:ascii="Tahoma" w:hAnsi="Tahoma" w:cs="Tahoma"/>
          <w:sz w:val="20"/>
        </w:rPr>
      </w:pPr>
    </w:p>
    <w:p w:rsidR="005447E7" w:rsidRPr="00AB7E1B" w:rsidRDefault="005447E7" w:rsidP="005447E7">
      <w:pPr>
        <w:pStyle w:val="Prrafodelista"/>
        <w:widowControl/>
        <w:numPr>
          <w:ilvl w:val="0"/>
          <w:numId w:val="6"/>
        </w:numPr>
        <w:suppressAutoHyphens w:val="0"/>
        <w:ind w:left="567" w:hanging="567"/>
        <w:contextualSpacing/>
        <w:jc w:val="both"/>
        <w:rPr>
          <w:rFonts w:ascii="Tahoma" w:hAnsi="Tahoma" w:cs="Tahoma"/>
          <w:sz w:val="20"/>
        </w:rPr>
      </w:pPr>
      <w:r w:rsidRPr="00AB7E1B">
        <w:rPr>
          <w:rFonts w:ascii="Tahoma" w:hAnsi="Tahoma" w:cs="Tahoma"/>
          <w:sz w:val="20"/>
        </w:rPr>
        <w:t xml:space="preserve">Por lo expuesto, este Tribunal considera que corresponde imponerle sanción administrativa a la Contratista por haber incurrido en la causal prevista en el </w:t>
      </w:r>
      <w:r w:rsidRPr="00AB7E1B">
        <w:rPr>
          <w:rFonts w:ascii="Tahoma" w:eastAsia="MS Mincho" w:hAnsi="Tahoma" w:cs="Tahoma"/>
          <w:sz w:val="20"/>
        </w:rPr>
        <w:t>literal b) del numeral 51.1 del artículo 51 de la Ley de Contrataciones del Estado.</w:t>
      </w:r>
    </w:p>
    <w:p w:rsidR="005447E7" w:rsidRPr="00AB7E1B" w:rsidRDefault="005447E7" w:rsidP="005447E7">
      <w:pPr>
        <w:pStyle w:val="Prrafodelista"/>
        <w:rPr>
          <w:rFonts w:ascii="Tahoma" w:hAnsi="Tahoma" w:cs="Tahoma"/>
          <w:sz w:val="20"/>
        </w:rPr>
      </w:pPr>
    </w:p>
    <w:p w:rsidR="005447E7" w:rsidRPr="00AB7E1B" w:rsidRDefault="005447E7" w:rsidP="005447E7">
      <w:pPr>
        <w:pStyle w:val="Prrafodelista"/>
        <w:widowControl/>
        <w:numPr>
          <w:ilvl w:val="0"/>
          <w:numId w:val="6"/>
        </w:numPr>
        <w:suppressAutoHyphens w:val="0"/>
        <w:ind w:left="567" w:hanging="567"/>
        <w:contextualSpacing/>
        <w:jc w:val="both"/>
        <w:rPr>
          <w:rFonts w:ascii="Tahoma" w:hAnsi="Tahoma" w:cs="Tahoma"/>
          <w:sz w:val="20"/>
        </w:rPr>
      </w:pPr>
      <w:r w:rsidRPr="00AB7E1B">
        <w:rPr>
          <w:rFonts w:ascii="Tahoma" w:hAnsi="Tahoma" w:cs="Tahoma"/>
          <w:sz w:val="20"/>
        </w:rPr>
        <w:t>En tal sentido, en el presente caso la sanción se aplicará de conformidad a lo señalado en el referido artículo</w:t>
      </w:r>
      <w:r w:rsidRPr="00AB7E1B">
        <w:rPr>
          <w:rFonts w:ascii="Tahoma" w:eastAsia="MS Mincho" w:hAnsi="Tahoma" w:cs="Tahoma"/>
          <w:sz w:val="20"/>
        </w:rPr>
        <w:t xml:space="preserve">, los mismos que </w:t>
      </w:r>
      <w:r w:rsidRPr="00AB7E1B">
        <w:rPr>
          <w:rFonts w:ascii="Tahoma" w:hAnsi="Tahoma" w:cs="Tahoma"/>
          <w:sz w:val="20"/>
        </w:rPr>
        <w:t xml:space="preserve">establecen que los proveedores, participantes, postores o contratistas que incurran en las causales establecidas en los literales a), b), c), d) e), f) h), i), j y k) serán sancionados con inhabilitación temporal para contratar con el Estado por un período no menor a un (1) año ni mayor de tres (3) años. </w:t>
      </w:r>
    </w:p>
    <w:p w:rsidR="005447E7" w:rsidRPr="00AB7E1B" w:rsidRDefault="005447E7" w:rsidP="005447E7">
      <w:pPr>
        <w:pStyle w:val="Prrafodelista"/>
        <w:rPr>
          <w:rFonts w:ascii="Tahoma" w:hAnsi="Tahoma" w:cs="Tahoma"/>
          <w:sz w:val="20"/>
        </w:rPr>
      </w:pPr>
    </w:p>
    <w:p w:rsidR="005447E7" w:rsidRPr="00AB7E1B" w:rsidRDefault="005447E7" w:rsidP="005447E7">
      <w:pPr>
        <w:pStyle w:val="Prrafodelista"/>
        <w:widowControl/>
        <w:numPr>
          <w:ilvl w:val="0"/>
          <w:numId w:val="6"/>
        </w:numPr>
        <w:suppressAutoHyphens w:val="0"/>
        <w:ind w:left="567" w:hanging="567"/>
        <w:contextualSpacing/>
        <w:jc w:val="both"/>
        <w:rPr>
          <w:rFonts w:ascii="Tahoma" w:hAnsi="Tahoma" w:cs="Tahoma"/>
          <w:sz w:val="20"/>
        </w:rPr>
      </w:pPr>
      <w:r w:rsidRPr="00AB7E1B">
        <w:rPr>
          <w:rFonts w:ascii="Tahoma" w:hAnsi="Tahoma" w:cs="Tahoma"/>
          <w:sz w:val="20"/>
        </w:rPr>
        <w:t xml:space="preserve">Asimismo, la sanción que se impondrá deberá ser graduada dentro de los límites dispuestos en dichos artículo, para lo cual deberá tenerse en cuenta lo dispuesto por el </w:t>
      </w:r>
      <w:r w:rsidRPr="00AB7E1B">
        <w:rPr>
          <w:rFonts w:ascii="Tahoma" w:hAnsi="Tahoma" w:cs="Tahoma"/>
          <w:sz w:val="20"/>
        </w:rPr>
        <w:lastRenderedPageBreak/>
        <w:t>artículo 245 del Reglamento, el mismo que establece que se considerará los siguientes criterios: 1) Naturaleza de la infracción; 2) Intencionalidad del infractor; 3) Daño causado; 4) Reiterancia; 5) El reconocimiento de la infracción cometida antes de que sea detectada; 6) Circunstancias de tiempo, lugar y modo; 7) Condiciones del infractor; 8) Conducta procesal del infractor.</w:t>
      </w:r>
    </w:p>
    <w:p w:rsidR="005447E7" w:rsidRPr="00AB7E1B" w:rsidRDefault="005447E7" w:rsidP="005447E7">
      <w:pPr>
        <w:pStyle w:val="Prrafodelista"/>
        <w:rPr>
          <w:rFonts w:ascii="Tahoma" w:hAnsi="Tahoma" w:cs="Tahoma"/>
          <w:sz w:val="20"/>
        </w:rPr>
      </w:pPr>
    </w:p>
    <w:p w:rsidR="005447E7" w:rsidRPr="00AB7E1B" w:rsidRDefault="005447E7" w:rsidP="005447E7">
      <w:pPr>
        <w:pStyle w:val="Prrafodelista"/>
        <w:widowControl/>
        <w:numPr>
          <w:ilvl w:val="0"/>
          <w:numId w:val="6"/>
        </w:numPr>
        <w:suppressAutoHyphens w:val="0"/>
        <w:ind w:left="567" w:hanging="567"/>
        <w:contextualSpacing/>
        <w:jc w:val="both"/>
        <w:rPr>
          <w:rFonts w:ascii="Tahoma" w:hAnsi="Tahoma" w:cs="Tahoma"/>
          <w:sz w:val="20"/>
        </w:rPr>
      </w:pPr>
      <w:r w:rsidRPr="00AB7E1B">
        <w:rPr>
          <w:rFonts w:ascii="Tahoma" w:hAnsi="Tahoma" w:cs="Tahoma"/>
          <w:sz w:val="20"/>
        </w:rPr>
        <w:t xml:space="preserve">En ese sentido, también resulta importante traer a colación el </w:t>
      </w:r>
      <w:r w:rsidRPr="00AB7E1B">
        <w:rPr>
          <w:rFonts w:ascii="Tahoma" w:hAnsi="Tahoma" w:cs="Tahoma"/>
          <w:i/>
          <w:sz w:val="20"/>
        </w:rPr>
        <w:t>Principio de Razonabilidad</w:t>
      </w:r>
      <w:r w:rsidRPr="00AB7E1B">
        <w:rPr>
          <w:rFonts w:ascii="Tahoma" w:hAnsi="Tahoma" w:cs="Tahoma"/>
          <w:sz w:val="20"/>
        </w:rPr>
        <w:t xml:space="preserve"> consagrado en el numeral 3 del artículo 230 de la Ley del Procedimiento Administrativo General, </w:t>
      </w:r>
      <w:r w:rsidRPr="00AB7E1B">
        <w:rPr>
          <w:rFonts w:ascii="Tahoma" w:eastAsia="Calibri" w:hAnsi="Tahoma" w:cs="Tahoma"/>
          <w:sz w:val="20"/>
          <w:lang w:eastAsia="en-US"/>
        </w:rPr>
        <w:t>modificado por Decreto Legislativo Nº 1029 del 24 de junio de 2008, por medio del cual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5447E7" w:rsidRPr="00AB7E1B" w:rsidRDefault="005447E7" w:rsidP="005447E7">
      <w:pPr>
        <w:pStyle w:val="Prrafodelista"/>
        <w:rPr>
          <w:rFonts w:ascii="Tahoma" w:hAnsi="Tahoma" w:cs="Tahoma"/>
          <w:sz w:val="20"/>
        </w:rPr>
      </w:pPr>
    </w:p>
    <w:p w:rsidR="005447E7" w:rsidRPr="00AB7E1B" w:rsidRDefault="005447E7" w:rsidP="005447E7">
      <w:pPr>
        <w:pStyle w:val="Prrafodelista"/>
        <w:widowControl/>
        <w:numPr>
          <w:ilvl w:val="0"/>
          <w:numId w:val="6"/>
        </w:numPr>
        <w:suppressAutoHyphens w:val="0"/>
        <w:ind w:left="567" w:hanging="567"/>
        <w:contextualSpacing/>
        <w:jc w:val="both"/>
        <w:rPr>
          <w:rFonts w:ascii="Tahoma" w:hAnsi="Tahoma" w:cs="Tahoma"/>
          <w:sz w:val="20"/>
        </w:rPr>
      </w:pPr>
      <w:r w:rsidRPr="00AB7E1B">
        <w:rPr>
          <w:rFonts w:ascii="Tahoma" w:hAnsi="Tahoma" w:cs="Tahoma"/>
          <w:sz w:val="20"/>
        </w:rPr>
        <w:t>Atendiendo a lo señalado anteriormente, en lo que concierne a la naturaleza de la infracción, es importante señalar que la conducta denunciada reviste una considerable gravedad en la medida que desde el momento que la Contratista asumió un compromiso contractual frente a la Entidad, se encontraba llamado a cumplir cabalmente lo ofrecido, máxime si es conocido que ante un eventual incumplimiento se verían seriamente afectados intereses de carácter público así como retrasado el cumplimiento de las metas institucionales de la Entidad.</w:t>
      </w:r>
    </w:p>
    <w:p w:rsidR="005447E7" w:rsidRPr="00AB7E1B" w:rsidRDefault="005447E7" w:rsidP="005447E7">
      <w:pPr>
        <w:pStyle w:val="Prrafodelista"/>
        <w:rPr>
          <w:rFonts w:ascii="Tahoma" w:hAnsi="Tahoma" w:cs="Tahoma"/>
          <w:sz w:val="20"/>
        </w:rPr>
      </w:pPr>
    </w:p>
    <w:p w:rsidR="005447E7" w:rsidRPr="00AB7E1B" w:rsidRDefault="005447E7" w:rsidP="005447E7">
      <w:pPr>
        <w:pStyle w:val="Prrafodelista"/>
        <w:widowControl/>
        <w:numPr>
          <w:ilvl w:val="0"/>
          <w:numId w:val="6"/>
        </w:numPr>
        <w:suppressAutoHyphens w:val="0"/>
        <w:ind w:left="567" w:hanging="567"/>
        <w:contextualSpacing/>
        <w:jc w:val="both"/>
        <w:rPr>
          <w:rFonts w:ascii="Tahoma" w:hAnsi="Tahoma" w:cs="Tahoma"/>
          <w:sz w:val="20"/>
        </w:rPr>
      </w:pPr>
      <w:r w:rsidRPr="00AB7E1B">
        <w:rPr>
          <w:rFonts w:ascii="Tahoma" w:hAnsi="Tahoma" w:cs="Tahoma"/>
          <w:sz w:val="20"/>
        </w:rPr>
        <w:t>Respecto de la conducta procesal, conviene precisar que durante la sustanciación del presente procedimiento administrativo sancionador, la Contratista ha cumplido con presentar sus descargos, no obstante no ha reconocido la infracción incurrida.</w:t>
      </w:r>
    </w:p>
    <w:p w:rsidR="005447E7" w:rsidRPr="00AB7E1B" w:rsidRDefault="005447E7" w:rsidP="005447E7">
      <w:pPr>
        <w:pStyle w:val="Prrafodelista"/>
        <w:rPr>
          <w:rFonts w:ascii="Tahoma" w:hAnsi="Tahoma" w:cs="Tahoma"/>
          <w:sz w:val="20"/>
        </w:rPr>
      </w:pPr>
    </w:p>
    <w:p w:rsidR="005447E7" w:rsidRPr="00AB7E1B" w:rsidRDefault="005447E7" w:rsidP="005447E7">
      <w:pPr>
        <w:pStyle w:val="Prrafodelista"/>
        <w:widowControl/>
        <w:numPr>
          <w:ilvl w:val="0"/>
          <w:numId w:val="6"/>
        </w:numPr>
        <w:suppressAutoHyphens w:val="0"/>
        <w:ind w:left="567" w:hanging="567"/>
        <w:contextualSpacing/>
        <w:jc w:val="both"/>
        <w:rPr>
          <w:rFonts w:ascii="Tahoma" w:hAnsi="Tahoma" w:cs="Tahoma"/>
          <w:sz w:val="20"/>
        </w:rPr>
      </w:pPr>
      <w:r w:rsidRPr="00AB7E1B">
        <w:rPr>
          <w:rFonts w:ascii="Tahoma" w:hAnsi="Tahoma" w:cs="Tahoma"/>
          <w:sz w:val="20"/>
        </w:rPr>
        <w:t>Así también, debemos tener presente que obra a favor de la Contratista</w:t>
      </w:r>
      <w:r w:rsidRPr="00AB7E1B">
        <w:rPr>
          <w:rFonts w:ascii="Tahoma" w:hAnsi="Tahoma" w:cs="Tahoma"/>
          <w:sz w:val="20"/>
          <w:lang w:val="es-PE"/>
        </w:rPr>
        <w:t>,</w:t>
      </w:r>
      <w:r w:rsidRPr="00AB7E1B">
        <w:rPr>
          <w:rFonts w:ascii="Tahoma" w:hAnsi="Tahoma" w:cs="Tahoma"/>
          <w:sz w:val="20"/>
        </w:rPr>
        <w:t xml:space="preserve"> el elemento atenuante consistente en la ausencia de antecedentes en la comisión de infracciones.</w:t>
      </w:r>
    </w:p>
    <w:p w:rsidR="005447E7" w:rsidRPr="00AB7E1B" w:rsidRDefault="005447E7" w:rsidP="005447E7">
      <w:pPr>
        <w:pStyle w:val="Prrafodelista"/>
        <w:rPr>
          <w:rFonts w:ascii="Tahoma" w:hAnsi="Tahoma" w:cs="Tahoma"/>
          <w:sz w:val="20"/>
        </w:rPr>
      </w:pPr>
    </w:p>
    <w:p w:rsidR="00303435" w:rsidRPr="00AB7E1B" w:rsidRDefault="005447E7" w:rsidP="005447E7">
      <w:pPr>
        <w:pStyle w:val="Prrafodelista"/>
        <w:widowControl/>
        <w:numPr>
          <w:ilvl w:val="0"/>
          <w:numId w:val="6"/>
        </w:numPr>
        <w:suppressAutoHyphens w:val="0"/>
        <w:ind w:left="567" w:hanging="567"/>
        <w:contextualSpacing/>
        <w:jc w:val="both"/>
        <w:rPr>
          <w:rFonts w:ascii="Tahoma" w:hAnsi="Tahoma" w:cs="Tahoma"/>
          <w:sz w:val="20"/>
        </w:rPr>
      </w:pPr>
      <w:r w:rsidRPr="00AB7E1B">
        <w:rPr>
          <w:rFonts w:ascii="Tahoma" w:hAnsi="Tahoma" w:cs="Tahoma"/>
          <w:sz w:val="20"/>
        </w:rPr>
        <w:t>Por lo antes expuesto, corresponde imponerle a la Contratista</w:t>
      </w:r>
      <w:r w:rsidRPr="00AB7E1B">
        <w:rPr>
          <w:rFonts w:ascii="Tahoma" w:eastAsia="MS Mincho" w:hAnsi="Tahoma" w:cs="Tahoma"/>
          <w:sz w:val="20"/>
        </w:rPr>
        <w:t xml:space="preserve"> la</w:t>
      </w:r>
      <w:r w:rsidRPr="00AB7E1B">
        <w:rPr>
          <w:rFonts w:ascii="Tahoma" w:hAnsi="Tahoma" w:cs="Tahoma"/>
          <w:sz w:val="20"/>
        </w:rPr>
        <w:t xml:space="preserve"> sanción administrativa de inhabilitación temporal en sus derechos para participar en procesos de selección y contratar con el Estado, por el periodo de doce (12) meses.</w:t>
      </w:r>
    </w:p>
    <w:p w:rsidR="00303435" w:rsidRPr="00AB7E1B" w:rsidRDefault="00303435" w:rsidP="00303435">
      <w:pPr>
        <w:jc w:val="both"/>
        <w:rPr>
          <w:rFonts w:ascii="Tahoma" w:hAnsi="Tahoma" w:cs="Tahoma"/>
          <w:sz w:val="20"/>
          <w:szCs w:val="20"/>
          <w:lang w:val="es-ES_tradnl"/>
        </w:rPr>
      </w:pPr>
    </w:p>
    <w:p w:rsidR="00303435" w:rsidRPr="00AB7E1B" w:rsidRDefault="00303435" w:rsidP="00303435">
      <w:pPr>
        <w:tabs>
          <w:tab w:val="left" w:pos="567"/>
        </w:tabs>
        <w:autoSpaceDE w:val="0"/>
        <w:autoSpaceDN w:val="0"/>
        <w:adjustRightInd w:val="0"/>
        <w:ind w:left="567" w:hanging="1440"/>
        <w:jc w:val="both"/>
        <w:rPr>
          <w:rFonts w:ascii="Tahoma" w:eastAsiaTheme="minorHAnsi" w:hAnsi="Tahoma" w:cs="Tahoma"/>
          <w:color w:val="000000"/>
          <w:sz w:val="20"/>
          <w:szCs w:val="20"/>
          <w:lang w:eastAsia="en-US"/>
        </w:rPr>
      </w:pPr>
      <w:r w:rsidRPr="00AB7E1B">
        <w:rPr>
          <w:rFonts w:ascii="Tahoma" w:eastAsiaTheme="minorHAnsi" w:hAnsi="Tahoma" w:cs="Tahoma"/>
          <w:color w:val="000000"/>
          <w:sz w:val="20"/>
          <w:szCs w:val="20"/>
          <w:lang w:eastAsia="en-US"/>
        </w:rPr>
        <w:tab/>
        <w:t>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303435" w:rsidRDefault="00303435" w:rsidP="00303435">
      <w:pPr>
        <w:ind w:firstLine="426"/>
        <w:jc w:val="both"/>
        <w:rPr>
          <w:rFonts w:ascii="Tahoma" w:hAnsi="Tahoma" w:cs="Tahoma"/>
          <w:sz w:val="20"/>
          <w:szCs w:val="20"/>
        </w:rPr>
      </w:pPr>
    </w:p>
    <w:p w:rsidR="00AB7E1B" w:rsidRPr="00AB7E1B" w:rsidRDefault="00AB7E1B" w:rsidP="00303435">
      <w:pPr>
        <w:ind w:firstLine="426"/>
        <w:jc w:val="both"/>
        <w:rPr>
          <w:rFonts w:ascii="Tahoma" w:hAnsi="Tahoma" w:cs="Tahoma"/>
          <w:sz w:val="20"/>
          <w:szCs w:val="20"/>
        </w:rPr>
      </w:pPr>
    </w:p>
    <w:p w:rsidR="00303435" w:rsidRPr="00AB7E1B" w:rsidRDefault="00303435" w:rsidP="00303435">
      <w:pPr>
        <w:ind w:firstLine="567"/>
        <w:jc w:val="both"/>
        <w:rPr>
          <w:rFonts w:ascii="Tahoma" w:hAnsi="Tahoma" w:cs="Tahoma"/>
          <w:b/>
          <w:sz w:val="20"/>
          <w:szCs w:val="20"/>
        </w:rPr>
      </w:pPr>
      <w:r w:rsidRPr="00AB7E1B">
        <w:rPr>
          <w:rFonts w:ascii="Tahoma" w:hAnsi="Tahoma" w:cs="Tahoma"/>
          <w:b/>
          <w:sz w:val="20"/>
          <w:szCs w:val="20"/>
        </w:rPr>
        <w:lastRenderedPageBreak/>
        <w:t xml:space="preserve">LA SALA RESUELVE: </w:t>
      </w:r>
    </w:p>
    <w:p w:rsidR="00303435" w:rsidRPr="00AB7E1B" w:rsidRDefault="00303435" w:rsidP="00303435">
      <w:pPr>
        <w:jc w:val="both"/>
        <w:rPr>
          <w:rFonts w:ascii="Tahoma" w:hAnsi="Tahoma" w:cs="Tahoma"/>
          <w:snapToGrid w:val="0"/>
          <w:sz w:val="20"/>
          <w:szCs w:val="20"/>
        </w:rPr>
      </w:pPr>
    </w:p>
    <w:p w:rsidR="00303435" w:rsidRPr="00AB7E1B" w:rsidRDefault="00303435" w:rsidP="00303435">
      <w:pPr>
        <w:pStyle w:val="Prrafodelista"/>
        <w:widowControl/>
        <w:numPr>
          <w:ilvl w:val="0"/>
          <w:numId w:val="7"/>
        </w:numPr>
        <w:suppressAutoHyphens w:val="0"/>
        <w:ind w:left="567" w:hanging="567"/>
        <w:contextualSpacing/>
        <w:jc w:val="both"/>
        <w:rPr>
          <w:rFonts w:ascii="Tahoma" w:hAnsi="Tahoma" w:cs="Tahoma"/>
          <w:sz w:val="20"/>
        </w:rPr>
      </w:pPr>
      <w:r w:rsidRPr="00AB7E1B">
        <w:rPr>
          <w:rFonts w:ascii="Tahoma" w:hAnsi="Tahoma" w:cs="Tahoma"/>
          <w:sz w:val="20"/>
        </w:rPr>
        <w:t xml:space="preserve">Imponer a </w:t>
      </w:r>
      <w:r w:rsidRPr="00AB7E1B">
        <w:rPr>
          <w:rFonts w:ascii="Tahoma" w:hAnsi="Tahoma" w:cs="Tahoma"/>
          <w:bCs/>
          <w:sz w:val="20"/>
        </w:rPr>
        <w:t>la empresa J.Mamb EIRL</w:t>
      </w:r>
      <w:r w:rsidRPr="00AB7E1B">
        <w:rPr>
          <w:rFonts w:ascii="Tahoma" w:hAnsi="Tahoma" w:cs="Tahoma"/>
          <w:sz w:val="20"/>
        </w:rPr>
        <w:t xml:space="preserve"> sanción administrativa de inhabilitación temporal por el período de doce (12) meses en sus derechos de participar en procesos de selección y contratar con el Estado, por su responsabilidad </w:t>
      </w:r>
      <w:r w:rsidRPr="00AB7E1B">
        <w:rPr>
          <w:rFonts w:ascii="Tahoma" w:hAnsi="Tahoma" w:cs="Tahoma"/>
          <w:sz w:val="20"/>
          <w:lang w:val="es-PE"/>
        </w:rPr>
        <w:t xml:space="preserve">al haber dado lugar a la resolución del </w:t>
      </w:r>
      <w:r w:rsidR="00163715" w:rsidRPr="00AB7E1B">
        <w:rPr>
          <w:rFonts w:ascii="Tahoma" w:hAnsi="Tahoma" w:cs="Tahoma"/>
          <w:sz w:val="20"/>
        </w:rPr>
        <w:t>Contrato Nº 006-2010-EP/UO 0834</w:t>
      </w:r>
      <w:r w:rsidR="00163715">
        <w:rPr>
          <w:rFonts w:ascii="Tahoma" w:hAnsi="Tahoma" w:cs="Tahoma"/>
          <w:sz w:val="20"/>
        </w:rPr>
        <w:t>ABSTO/OEC</w:t>
      </w:r>
      <w:r w:rsidRPr="00AB7E1B">
        <w:rPr>
          <w:rFonts w:ascii="Tahoma" w:hAnsi="Tahoma" w:cs="Tahoma"/>
          <w:sz w:val="20"/>
        </w:rPr>
        <w:t xml:space="preserve">, para “el suministro de arroz superior pilado” en virtud al proceso de Licitación Pública </w:t>
      </w:r>
      <w:r w:rsidR="00163715">
        <w:rPr>
          <w:rFonts w:ascii="Tahoma" w:hAnsi="Tahoma" w:cs="Tahoma"/>
          <w:sz w:val="20"/>
        </w:rPr>
        <w:t>por Subasta Inversa P</w:t>
      </w:r>
      <w:r w:rsidR="00163715" w:rsidRPr="00AB7E1B">
        <w:rPr>
          <w:rFonts w:ascii="Tahoma" w:hAnsi="Tahoma" w:cs="Tahoma"/>
          <w:sz w:val="20"/>
        </w:rPr>
        <w:t>resencial Nº 001-2010-EP/UO 0834</w:t>
      </w:r>
      <w:r w:rsidR="00163715">
        <w:rPr>
          <w:rFonts w:ascii="Tahoma" w:hAnsi="Tahoma" w:cs="Tahoma"/>
          <w:sz w:val="20"/>
        </w:rPr>
        <w:t>, ítem Nº 1-Primera Convocatoria</w:t>
      </w:r>
      <w:r w:rsidRPr="00AB7E1B">
        <w:rPr>
          <w:rFonts w:ascii="Tahoma" w:hAnsi="Tahoma" w:cs="Tahoma"/>
          <w:sz w:val="20"/>
        </w:rPr>
        <w:t>, infracción tipificada</w:t>
      </w:r>
      <w:r w:rsidRPr="00AB7E1B">
        <w:rPr>
          <w:rFonts w:ascii="Tahoma" w:hAnsi="Tahoma" w:cs="Tahoma"/>
          <w:sz w:val="20"/>
          <w:lang w:val="es-PE"/>
        </w:rPr>
        <w:t xml:space="preserve"> en el </w:t>
      </w:r>
      <w:r w:rsidRPr="00AB7E1B">
        <w:rPr>
          <w:rFonts w:ascii="Tahoma" w:hAnsi="Tahoma" w:cs="Tahoma"/>
          <w:sz w:val="20"/>
        </w:rPr>
        <w:t>el literal b) del numeral 51.1 del artículo 51 de la Ley de Contrataciones y Adquisiciones del Estado por los fundamentos expuestos.</w:t>
      </w:r>
    </w:p>
    <w:p w:rsidR="00303435" w:rsidRPr="00AB7E1B" w:rsidRDefault="00303435" w:rsidP="00303435">
      <w:pPr>
        <w:pStyle w:val="Prrafodelista"/>
        <w:ind w:left="567"/>
        <w:contextualSpacing/>
        <w:jc w:val="both"/>
        <w:rPr>
          <w:rFonts w:ascii="Tahoma" w:hAnsi="Tahoma" w:cs="Tahoma"/>
          <w:sz w:val="20"/>
        </w:rPr>
      </w:pPr>
    </w:p>
    <w:p w:rsidR="00303435" w:rsidRPr="00AB7E1B" w:rsidRDefault="00303435" w:rsidP="00303435">
      <w:pPr>
        <w:pStyle w:val="Prrafodelista"/>
        <w:widowControl/>
        <w:numPr>
          <w:ilvl w:val="0"/>
          <w:numId w:val="7"/>
        </w:numPr>
        <w:suppressAutoHyphens w:val="0"/>
        <w:ind w:left="567" w:hanging="567"/>
        <w:contextualSpacing/>
        <w:jc w:val="both"/>
        <w:rPr>
          <w:rFonts w:ascii="Tahoma" w:hAnsi="Tahoma" w:cs="Tahoma"/>
          <w:sz w:val="20"/>
        </w:rPr>
      </w:pPr>
      <w:r w:rsidRPr="00AB7E1B">
        <w:rPr>
          <w:rFonts w:ascii="Tahoma" w:hAnsi="Tahoma" w:cs="Tahoma"/>
          <w:sz w:val="20"/>
        </w:rPr>
        <w:t>Poner la presente Resolución en conocimiento del Registro Nacional de Proveedores del OSCE para las anotaciones de Ley correspondientes.</w:t>
      </w:r>
    </w:p>
    <w:p w:rsidR="00303435" w:rsidRPr="00AB7E1B" w:rsidRDefault="00303435" w:rsidP="00303435">
      <w:pPr>
        <w:tabs>
          <w:tab w:val="left" w:pos="180"/>
          <w:tab w:val="left" w:pos="540"/>
        </w:tabs>
        <w:jc w:val="both"/>
        <w:rPr>
          <w:rFonts w:ascii="Tahoma" w:hAnsi="Tahoma" w:cs="Tahoma"/>
          <w:sz w:val="20"/>
          <w:szCs w:val="20"/>
        </w:rPr>
      </w:pPr>
    </w:p>
    <w:p w:rsidR="00303435" w:rsidRPr="00AB7E1B" w:rsidRDefault="00303435" w:rsidP="00303435">
      <w:pPr>
        <w:pStyle w:val="Textoindependiente21"/>
        <w:ind w:firstLine="567"/>
        <w:rPr>
          <w:rFonts w:cs="Tahoma"/>
          <w:sz w:val="20"/>
        </w:rPr>
      </w:pPr>
      <w:r w:rsidRPr="00AB7E1B">
        <w:rPr>
          <w:rFonts w:cs="Tahoma"/>
          <w:sz w:val="20"/>
        </w:rPr>
        <w:t>Regístrese, comuníquese y publíquese.</w:t>
      </w:r>
    </w:p>
    <w:p w:rsidR="00303435" w:rsidRPr="00AB7E1B" w:rsidRDefault="00303435" w:rsidP="00303435">
      <w:pPr>
        <w:jc w:val="center"/>
        <w:rPr>
          <w:rFonts w:ascii="Tahoma" w:hAnsi="Tahoma" w:cs="Tahoma"/>
          <w:b/>
          <w:sz w:val="20"/>
          <w:szCs w:val="20"/>
        </w:rPr>
      </w:pPr>
    </w:p>
    <w:p w:rsidR="00303435" w:rsidRDefault="00303435" w:rsidP="00303435">
      <w:pPr>
        <w:jc w:val="center"/>
        <w:rPr>
          <w:rFonts w:ascii="Tahoma" w:hAnsi="Tahoma" w:cs="Tahoma"/>
          <w:b/>
          <w:sz w:val="20"/>
          <w:szCs w:val="20"/>
        </w:rPr>
      </w:pPr>
    </w:p>
    <w:p w:rsidR="00AB7E1B" w:rsidRDefault="00AB7E1B" w:rsidP="00303435">
      <w:pPr>
        <w:jc w:val="center"/>
        <w:rPr>
          <w:rFonts w:ascii="Tahoma" w:hAnsi="Tahoma" w:cs="Tahoma"/>
          <w:b/>
          <w:sz w:val="20"/>
          <w:szCs w:val="20"/>
        </w:rPr>
      </w:pPr>
    </w:p>
    <w:p w:rsidR="00AB7E1B" w:rsidRDefault="00AB7E1B" w:rsidP="00303435">
      <w:pPr>
        <w:jc w:val="center"/>
        <w:rPr>
          <w:rFonts w:ascii="Tahoma" w:hAnsi="Tahoma" w:cs="Tahoma"/>
          <w:b/>
          <w:sz w:val="20"/>
          <w:szCs w:val="20"/>
        </w:rPr>
      </w:pPr>
    </w:p>
    <w:p w:rsidR="00AB7E1B" w:rsidRDefault="00AB7E1B" w:rsidP="00303435">
      <w:pPr>
        <w:jc w:val="center"/>
        <w:rPr>
          <w:rFonts w:ascii="Tahoma" w:hAnsi="Tahoma" w:cs="Tahoma"/>
          <w:b/>
          <w:sz w:val="20"/>
          <w:szCs w:val="20"/>
        </w:rPr>
      </w:pPr>
    </w:p>
    <w:p w:rsidR="00AB7E1B" w:rsidRPr="00AB7E1B" w:rsidRDefault="00AB7E1B" w:rsidP="00303435">
      <w:pPr>
        <w:jc w:val="center"/>
        <w:rPr>
          <w:rFonts w:ascii="Tahoma" w:hAnsi="Tahoma" w:cs="Tahoma"/>
          <w:b/>
          <w:sz w:val="20"/>
          <w:szCs w:val="20"/>
        </w:rPr>
      </w:pPr>
    </w:p>
    <w:p w:rsidR="00303435" w:rsidRPr="00AB7E1B" w:rsidRDefault="00303435" w:rsidP="00303435">
      <w:pPr>
        <w:rPr>
          <w:rFonts w:ascii="Tahoma" w:hAnsi="Tahoma" w:cs="Tahoma"/>
          <w:b/>
          <w:sz w:val="20"/>
          <w:szCs w:val="20"/>
        </w:rPr>
      </w:pPr>
    </w:p>
    <w:p w:rsidR="00303435" w:rsidRPr="00AB7E1B" w:rsidRDefault="00303435" w:rsidP="00303435">
      <w:pPr>
        <w:jc w:val="center"/>
        <w:rPr>
          <w:rFonts w:ascii="Tahoma" w:hAnsi="Tahoma" w:cs="Tahoma"/>
          <w:b/>
          <w:sz w:val="20"/>
          <w:szCs w:val="20"/>
        </w:rPr>
      </w:pPr>
    </w:p>
    <w:p w:rsidR="00303435" w:rsidRPr="00AB7E1B" w:rsidRDefault="00303435" w:rsidP="00303435">
      <w:pPr>
        <w:jc w:val="center"/>
        <w:rPr>
          <w:rFonts w:ascii="Tahoma" w:hAnsi="Tahoma" w:cs="Tahoma"/>
          <w:b/>
          <w:shadow/>
          <w:sz w:val="20"/>
          <w:szCs w:val="20"/>
          <w:lang w:val="pt-BR"/>
        </w:rPr>
      </w:pPr>
      <w:r w:rsidRPr="00AB7E1B">
        <w:rPr>
          <w:rFonts w:ascii="Tahoma" w:hAnsi="Tahoma" w:cs="Tahoma"/>
          <w:b/>
          <w:shadow/>
          <w:sz w:val="20"/>
          <w:szCs w:val="20"/>
          <w:lang w:val="pt-BR"/>
        </w:rPr>
        <w:t>PRESIDENTE</w:t>
      </w:r>
    </w:p>
    <w:p w:rsidR="00303435" w:rsidRPr="00AB7E1B" w:rsidRDefault="00303435" w:rsidP="00303435">
      <w:pPr>
        <w:ind w:firstLine="708"/>
        <w:rPr>
          <w:rFonts w:ascii="Tahoma" w:hAnsi="Tahoma" w:cs="Tahoma"/>
          <w:b/>
          <w:shadow/>
          <w:sz w:val="20"/>
          <w:szCs w:val="20"/>
          <w:lang w:val="pt-BR"/>
        </w:rPr>
      </w:pPr>
    </w:p>
    <w:p w:rsidR="00303435" w:rsidRPr="00AB7E1B" w:rsidRDefault="00303435" w:rsidP="00303435">
      <w:pPr>
        <w:ind w:firstLine="708"/>
        <w:rPr>
          <w:rFonts w:ascii="Tahoma" w:hAnsi="Tahoma" w:cs="Tahoma"/>
          <w:b/>
          <w:shadow/>
          <w:sz w:val="20"/>
          <w:szCs w:val="20"/>
          <w:lang w:val="pt-BR"/>
        </w:rPr>
      </w:pPr>
      <w:r w:rsidRPr="00AB7E1B">
        <w:rPr>
          <w:rFonts w:ascii="Tahoma" w:hAnsi="Tahoma" w:cs="Tahoma"/>
          <w:b/>
          <w:shadow/>
          <w:sz w:val="20"/>
          <w:szCs w:val="20"/>
          <w:lang w:val="pt-BR"/>
        </w:rPr>
        <w:t xml:space="preserve">VOCAL           </w:t>
      </w:r>
      <w:r w:rsidRPr="00AB7E1B">
        <w:rPr>
          <w:rFonts w:ascii="Tahoma" w:hAnsi="Tahoma" w:cs="Tahoma"/>
          <w:b/>
          <w:shadow/>
          <w:sz w:val="20"/>
          <w:szCs w:val="20"/>
          <w:lang w:val="pt-BR"/>
        </w:rPr>
        <w:tab/>
      </w:r>
      <w:r w:rsidRPr="00AB7E1B">
        <w:rPr>
          <w:rFonts w:ascii="Tahoma" w:hAnsi="Tahoma" w:cs="Tahoma"/>
          <w:b/>
          <w:shadow/>
          <w:sz w:val="20"/>
          <w:szCs w:val="20"/>
          <w:lang w:val="pt-BR"/>
        </w:rPr>
        <w:tab/>
        <w:t xml:space="preserve">                                                                 VOCAL</w:t>
      </w:r>
    </w:p>
    <w:p w:rsidR="00303435" w:rsidRPr="00AB7E1B" w:rsidRDefault="00303435" w:rsidP="00303435">
      <w:pPr>
        <w:rPr>
          <w:rFonts w:ascii="Tahoma" w:hAnsi="Tahoma" w:cs="Tahoma"/>
          <w:sz w:val="20"/>
          <w:szCs w:val="20"/>
          <w:lang w:val="pt-BR"/>
        </w:rPr>
      </w:pPr>
    </w:p>
    <w:p w:rsidR="00303435" w:rsidRPr="00AB7E1B" w:rsidRDefault="00303435" w:rsidP="00303435">
      <w:pPr>
        <w:rPr>
          <w:rFonts w:ascii="Tahoma" w:hAnsi="Tahoma" w:cs="Tahoma"/>
          <w:sz w:val="20"/>
          <w:szCs w:val="20"/>
          <w:lang w:val="pt-BR"/>
        </w:rPr>
      </w:pPr>
    </w:p>
    <w:p w:rsidR="00303435" w:rsidRPr="00AB7E1B" w:rsidRDefault="00303435" w:rsidP="00303435">
      <w:pPr>
        <w:jc w:val="both"/>
        <w:rPr>
          <w:rFonts w:ascii="Tahoma" w:hAnsi="Tahoma" w:cs="Tahoma"/>
          <w:sz w:val="20"/>
          <w:szCs w:val="20"/>
          <w:lang w:val="pt-BR"/>
        </w:rPr>
      </w:pPr>
      <w:r w:rsidRPr="00AB7E1B">
        <w:rPr>
          <w:rFonts w:ascii="Tahoma" w:hAnsi="Tahoma" w:cs="Tahoma"/>
          <w:sz w:val="20"/>
          <w:szCs w:val="20"/>
          <w:lang w:val="pt-BR"/>
        </w:rPr>
        <w:t>ss.</w:t>
      </w:r>
    </w:p>
    <w:p w:rsidR="00303435" w:rsidRPr="00AB7E1B" w:rsidRDefault="00303435" w:rsidP="00303435">
      <w:pPr>
        <w:pStyle w:val="Textoindependiente21"/>
        <w:tabs>
          <w:tab w:val="left" w:pos="5250"/>
        </w:tabs>
        <w:rPr>
          <w:rFonts w:cs="Tahoma"/>
          <w:sz w:val="20"/>
          <w:lang w:val="pt-BR"/>
        </w:rPr>
      </w:pPr>
      <w:r w:rsidRPr="00AB7E1B">
        <w:rPr>
          <w:rFonts w:cs="Tahoma"/>
          <w:sz w:val="20"/>
          <w:lang w:val="pt-BR"/>
        </w:rPr>
        <w:t>Navas Rondón.</w:t>
      </w:r>
    </w:p>
    <w:p w:rsidR="00303435" w:rsidRPr="00AB7E1B" w:rsidRDefault="00303435" w:rsidP="00303435">
      <w:pPr>
        <w:pStyle w:val="Textoindependiente21"/>
        <w:tabs>
          <w:tab w:val="left" w:pos="5250"/>
        </w:tabs>
        <w:rPr>
          <w:rFonts w:cs="Tahoma"/>
          <w:sz w:val="20"/>
          <w:lang w:val="pt-BR"/>
        </w:rPr>
      </w:pPr>
      <w:r w:rsidRPr="00AB7E1B">
        <w:rPr>
          <w:rFonts w:cs="Tahoma"/>
          <w:sz w:val="20"/>
        </w:rPr>
        <w:t>Ramírez Maynetto.</w:t>
      </w:r>
    </w:p>
    <w:p w:rsidR="00303435" w:rsidRPr="00AB7E1B" w:rsidRDefault="00303435" w:rsidP="00303435">
      <w:pPr>
        <w:pStyle w:val="Textoindependiente21"/>
        <w:tabs>
          <w:tab w:val="left" w:pos="5250"/>
        </w:tabs>
        <w:rPr>
          <w:rFonts w:cs="Tahoma"/>
          <w:sz w:val="20"/>
          <w:lang w:val="pt-BR"/>
        </w:rPr>
      </w:pPr>
      <w:r w:rsidRPr="00AB7E1B">
        <w:rPr>
          <w:rFonts w:cs="Tahoma"/>
          <w:sz w:val="20"/>
          <w:lang w:val="pt-BR"/>
        </w:rPr>
        <w:t>Basulto Liewald.</w:t>
      </w:r>
    </w:p>
    <w:p w:rsidR="00303435" w:rsidRPr="00AB7E1B" w:rsidRDefault="00303435" w:rsidP="00303435">
      <w:pPr>
        <w:rPr>
          <w:sz w:val="20"/>
          <w:szCs w:val="20"/>
        </w:rPr>
      </w:pPr>
    </w:p>
    <w:p w:rsidR="001D5C36" w:rsidRPr="00AB7E1B" w:rsidRDefault="00E92D37">
      <w:pPr>
        <w:rPr>
          <w:sz w:val="20"/>
          <w:szCs w:val="20"/>
        </w:rPr>
      </w:pPr>
    </w:p>
    <w:sectPr w:rsidR="001D5C36" w:rsidRPr="00AB7E1B" w:rsidSect="005447E7">
      <w:headerReference w:type="default" r:id="rId7"/>
      <w:footerReference w:type="default" r:id="rId8"/>
      <w:pgSz w:w="11906" w:h="16838"/>
      <w:pgMar w:top="3402" w:right="1700"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D37" w:rsidRDefault="00E92D37" w:rsidP="00303435">
      <w:r>
        <w:separator/>
      </w:r>
    </w:p>
  </w:endnote>
  <w:endnote w:type="continuationSeparator" w:id="1">
    <w:p w:rsidR="00E92D37" w:rsidRDefault="00E92D37" w:rsidP="00303435">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570A88">
            <w:pPr>
              <w:pStyle w:val="Piedepgina"/>
              <w:jc w:val="center"/>
            </w:pPr>
            <w:r>
              <w:t xml:space="preserve">Página </w:t>
            </w:r>
            <w:r w:rsidR="00F4450F">
              <w:rPr>
                <w:b/>
              </w:rPr>
              <w:fldChar w:fldCharType="begin"/>
            </w:r>
            <w:r>
              <w:rPr>
                <w:b/>
              </w:rPr>
              <w:instrText>PAGE</w:instrText>
            </w:r>
            <w:r w:rsidR="00F4450F">
              <w:rPr>
                <w:b/>
              </w:rPr>
              <w:fldChar w:fldCharType="separate"/>
            </w:r>
            <w:r w:rsidR="008B1975">
              <w:rPr>
                <w:b/>
                <w:noProof/>
              </w:rPr>
              <w:t>1</w:t>
            </w:r>
            <w:r w:rsidR="00F4450F">
              <w:rPr>
                <w:b/>
              </w:rPr>
              <w:fldChar w:fldCharType="end"/>
            </w:r>
            <w:r>
              <w:t xml:space="preserve"> de </w:t>
            </w:r>
            <w:r w:rsidR="00F4450F">
              <w:rPr>
                <w:b/>
              </w:rPr>
              <w:fldChar w:fldCharType="begin"/>
            </w:r>
            <w:r>
              <w:rPr>
                <w:b/>
              </w:rPr>
              <w:instrText>NUMPAGES</w:instrText>
            </w:r>
            <w:r w:rsidR="00F4450F">
              <w:rPr>
                <w:b/>
              </w:rPr>
              <w:fldChar w:fldCharType="separate"/>
            </w:r>
            <w:r w:rsidR="008B1975">
              <w:rPr>
                <w:b/>
                <w:noProof/>
              </w:rPr>
              <w:t>10</w:t>
            </w:r>
            <w:r w:rsidR="00F4450F">
              <w:rPr>
                <w:b/>
              </w:rPr>
              <w:fldChar w:fldCharType="end"/>
            </w:r>
          </w:p>
        </w:sdtContent>
      </w:sdt>
    </w:sdtContent>
  </w:sdt>
  <w:p w:rsidR="0035353E" w:rsidRDefault="00E92D37">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D37" w:rsidRDefault="00E92D37" w:rsidP="00303435">
      <w:r>
        <w:separator/>
      </w:r>
    </w:p>
  </w:footnote>
  <w:footnote w:type="continuationSeparator" w:id="1">
    <w:p w:rsidR="00E92D37" w:rsidRDefault="00E92D37" w:rsidP="00303435">
      <w:r>
        <w:continuationSeparator/>
      </w:r>
    </w:p>
  </w:footnote>
  <w:footnote w:id="2">
    <w:p w:rsidR="005447E7" w:rsidRPr="00134F1F" w:rsidRDefault="005447E7" w:rsidP="005447E7">
      <w:pPr>
        <w:pStyle w:val="Textonotapie"/>
        <w:jc w:val="both"/>
      </w:pPr>
      <w:r w:rsidRPr="00134F1F">
        <w:rPr>
          <w:rStyle w:val="Refdenotaalpie"/>
        </w:rPr>
        <w:footnoteRef/>
      </w:r>
      <w:r w:rsidRPr="00134F1F">
        <w:t xml:space="preserve"> La anotada presunción legal se sustenta en el </w:t>
      </w:r>
      <w:r w:rsidRPr="00134F1F">
        <w:rPr>
          <w:lang w:val="es-PE"/>
        </w:rPr>
        <w:t>artículo 1329</w:t>
      </w:r>
      <w:r>
        <w:rPr>
          <w:lang w:val="es-PE"/>
        </w:rPr>
        <w:t>º</w:t>
      </w:r>
      <w:r w:rsidRPr="00134F1F">
        <w:rPr>
          <w:lang w:val="es-PE"/>
        </w:rPr>
        <w:t xml:space="preserve"> del Código Civil, el cual establece que “se presume que la inejecución de la obligación, o su cumplimiento parcial, tardío o defectuoso, obedece a culpa leve del deudor”, artículo aplicable al presente caso de conformidad con el </w:t>
      </w:r>
      <w:r w:rsidRPr="00134F1F">
        <w:t>artículo IX, del Título Preliminar del mismo cuerpo normativo: “Las disposiciones del Código Civil se aplican supletoriamente a las relaciones y situaciones jurídicas reguladas por otras leyes, siempre que no sean incompatibles con su naturaleza”.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975" w:rsidRDefault="008B1975" w:rsidP="008B1975">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8B1975" w:rsidRDefault="008B1975" w:rsidP="008B1975">
    <w:pPr>
      <w:pStyle w:val="Encabezado"/>
      <w:rPr>
        <w:noProof/>
      </w:rPr>
    </w:pPr>
  </w:p>
  <w:p w:rsidR="008B1975" w:rsidRDefault="008B1975" w:rsidP="008B1975">
    <w:pPr>
      <w:pStyle w:val="Encabezado"/>
      <w:rPr>
        <w:noProof/>
      </w:rPr>
    </w:pPr>
  </w:p>
  <w:p w:rsidR="008B1975" w:rsidRDefault="008B1975" w:rsidP="008B1975">
    <w:pPr>
      <w:pStyle w:val="Encabezado"/>
      <w:rPr>
        <w:noProof/>
      </w:rPr>
    </w:pPr>
  </w:p>
  <w:p w:rsidR="008B1975" w:rsidRDefault="008B1975" w:rsidP="008B1975">
    <w:pPr>
      <w:pStyle w:val="Encabezado"/>
      <w:jc w:val="center"/>
    </w:pPr>
    <w:r>
      <w:rPr>
        <w:rFonts w:ascii="Monotype Corsiva" w:hAnsi="Monotype Corsiva"/>
        <w:b/>
        <w:sz w:val="44"/>
        <w:szCs w:val="44"/>
      </w:rPr>
      <w:t xml:space="preserve">Resolución Nº   </w:t>
    </w:r>
    <w:r>
      <w:rPr>
        <w:rFonts w:ascii="Tahoma" w:hAnsi="Tahoma" w:cs="Tahoma"/>
        <w:b/>
        <w:sz w:val="44"/>
        <w:szCs w:val="44"/>
      </w:rPr>
      <w:t>1009-2011-TC-S1</w:t>
    </w:r>
  </w:p>
  <w:p w:rsidR="008B1975" w:rsidRDefault="008B197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9DDC7D40"/>
    <w:lvl w:ilvl="0" w:tplc="78364840">
      <w:start w:val="1"/>
      <w:numFmt w:val="decimal"/>
      <w:lvlText w:val="%1."/>
      <w:lvlJc w:val="left"/>
      <w:pPr>
        <w:ind w:left="502" w:hanging="360"/>
      </w:pPr>
      <w:rPr>
        <w:rFonts w:ascii="Tahoma" w:hAnsi="Tahoma" w:cs="Tahoma" w:hint="default"/>
        <w:b/>
        <w:i w:val="0"/>
        <w:sz w:val="22"/>
        <w:szCs w:val="22"/>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nsid w:val="0916453D"/>
    <w:multiLevelType w:val="hybridMultilevel"/>
    <w:tmpl w:val="3F168A50"/>
    <w:lvl w:ilvl="0" w:tplc="92461B3C">
      <w:start w:val="1"/>
      <w:numFmt w:val="decimal"/>
      <w:lvlText w:val="%1."/>
      <w:lvlJc w:val="left"/>
      <w:pPr>
        <w:ind w:left="1120" w:hanging="360"/>
      </w:pPr>
      <w:rPr>
        <w:b/>
      </w:r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2">
    <w:nsid w:val="2E564EAD"/>
    <w:multiLevelType w:val="hybridMultilevel"/>
    <w:tmpl w:val="1142817E"/>
    <w:lvl w:ilvl="0" w:tplc="7FEAD98A">
      <w:start w:val="1"/>
      <w:numFmt w:val="upperLetter"/>
      <w:lvlText w:val="%1)"/>
      <w:lvlJc w:val="left"/>
      <w:pPr>
        <w:ind w:left="1002" w:hanging="435"/>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
    <w:nsid w:val="331F6AD4"/>
    <w:multiLevelType w:val="hybridMultilevel"/>
    <w:tmpl w:val="434E93F0"/>
    <w:lvl w:ilvl="0" w:tplc="FB76A4DA">
      <w:numFmt w:val="bullet"/>
      <w:lvlText w:val="-"/>
      <w:lvlJc w:val="left"/>
      <w:pPr>
        <w:tabs>
          <w:tab w:val="num" w:pos="1663"/>
        </w:tabs>
        <w:ind w:left="1456" w:hanging="360"/>
      </w:pPr>
      <w:rPr>
        <w:rFonts w:ascii="Times New Roman" w:eastAsia="Times New Roman" w:hAnsi="Times New Roman" w:cs="Times New Roman" w:hint="default"/>
      </w:rPr>
    </w:lvl>
    <w:lvl w:ilvl="1" w:tplc="0C0A0003" w:tentative="1">
      <w:start w:val="1"/>
      <w:numFmt w:val="bullet"/>
      <w:lvlText w:val="o"/>
      <w:lvlJc w:val="left"/>
      <w:pPr>
        <w:tabs>
          <w:tab w:val="num" w:pos="2536"/>
        </w:tabs>
        <w:ind w:left="2536" w:hanging="360"/>
      </w:pPr>
      <w:rPr>
        <w:rFonts w:ascii="Courier New" w:hAnsi="Courier New" w:cs="Courier New" w:hint="default"/>
      </w:rPr>
    </w:lvl>
    <w:lvl w:ilvl="2" w:tplc="0C0A0005" w:tentative="1">
      <w:start w:val="1"/>
      <w:numFmt w:val="bullet"/>
      <w:lvlText w:val=""/>
      <w:lvlJc w:val="left"/>
      <w:pPr>
        <w:tabs>
          <w:tab w:val="num" w:pos="3256"/>
        </w:tabs>
        <w:ind w:left="3256" w:hanging="360"/>
      </w:pPr>
      <w:rPr>
        <w:rFonts w:ascii="Wingdings" w:hAnsi="Wingdings" w:hint="default"/>
      </w:rPr>
    </w:lvl>
    <w:lvl w:ilvl="3" w:tplc="0C0A0001">
      <w:start w:val="1"/>
      <w:numFmt w:val="bullet"/>
      <w:lvlText w:val=""/>
      <w:lvlJc w:val="left"/>
      <w:pPr>
        <w:tabs>
          <w:tab w:val="num" w:pos="3976"/>
        </w:tabs>
        <w:ind w:left="3976" w:hanging="360"/>
      </w:pPr>
      <w:rPr>
        <w:rFonts w:ascii="Symbol" w:hAnsi="Symbol" w:hint="default"/>
      </w:rPr>
    </w:lvl>
    <w:lvl w:ilvl="4" w:tplc="0C0A0003" w:tentative="1">
      <w:start w:val="1"/>
      <w:numFmt w:val="bullet"/>
      <w:lvlText w:val="o"/>
      <w:lvlJc w:val="left"/>
      <w:pPr>
        <w:tabs>
          <w:tab w:val="num" w:pos="4696"/>
        </w:tabs>
        <w:ind w:left="4696" w:hanging="360"/>
      </w:pPr>
      <w:rPr>
        <w:rFonts w:ascii="Courier New" w:hAnsi="Courier New" w:cs="Courier New" w:hint="default"/>
      </w:rPr>
    </w:lvl>
    <w:lvl w:ilvl="5" w:tplc="0C0A0005" w:tentative="1">
      <w:start w:val="1"/>
      <w:numFmt w:val="bullet"/>
      <w:lvlText w:val=""/>
      <w:lvlJc w:val="left"/>
      <w:pPr>
        <w:tabs>
          <w:tab w:val="num" w:pos="5416"/>
        </w:tabs>
        <w:ind w:left="5416" w:hanging="360"/>
      </w:pPr>
      <w:rPr>
        <w:rFonts w:ascii="Wingdings" w:hAnsi="Wingdings" w:hint="default"/>
      </w:rPr>
    </w:lvl>
    <w:lvl w:ilvl="6" w:tplc="0C0A0001" w:tentative="1">
      <w:start w:val="1"/>
      <w:numFmt w:val="bullet"/>
      <w:lvlText w:val=""/>
      <w:lvlJc w:val="left"/>
      <w:pPr>
        <w:tabs>
          <w:tab w:val="num" w:pos="6136"/>
        </w:tabs>
        <w:ind w:left="6136" w:hanging="360"/>
      </w:pPr>
      <w:rPr>
        <w:rFonts w:ascii="Symbol" w:hAnsi="Symbol" w:hint="default"/>
      </w:rPr>
    </w:lvl>
    <w:lvl w:ilvl="7" w:tplc="0C0A0003" w:tentative="1">
      <w:start w:val="1"/>
      <w:numFmt w:val="bullet"/>
      <w:lvlText w:val="o"/>
      <w:lvlJc w:val="left"/>
      <w:pPr>
        <w:tabs>
          <w:tab w:val="num" w:pos="6856"/>
        </w:tabs>
        <w:ind w:left="6856" w:hanging="360"/>
      </w:pPr>
      <w:rPr>
        <w:rFonts w:ascii="Courier New" w:hAnsi="Courier New" w:cs="Courier New" w:hint="default"/>
      </w:rPr>
    </w:lvl>
    <w:lvl w:ilvl="8" w:tplc="0C0A0005" w:tentative="1">
      <w:start w:val="1"/>
      <w:numFmt w:val="bullet"/>
      <w:lvlText w:val=""/>
      <w:lvlJc w:val="left"/>
      <w:pPr>
        <w:tabs>
          <w:tab w:val="num" w:pos="7576"/>
        </w:tabs>
        <w:ind w:left="7576" w:hanging="360"/>
      </w:pPr>
      <w:rPr>
        <w:rFonts w:ascii="Wingdings" w:hAnsi="Wingdings" w:hint="default"/>
      </w:rPr>
    </w:lvl>
  </w:abstractNum>
  <w:abstractNum w:abstractNumId="4">
    <w:nsid w:val="53966D03"/>
    <w:multiLevelType w:val="hybridMultilevel"/>
    <w:tmpl w:val="6CB4BA48"/>
    <w:lvl w:ilvl="0" w:tplc="D95AD4BE">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5E1931F5"/>
    <w:multiLevelType w:val="hybridMultilevel"/>
    <w:tmpl w:val="6B52A2B0"/>
    <w:lvl w:ilvl="0" w:tplc="EAB4C47A">
      <w:start w:val="1"/>
      <w:numFmt w:val="decimal"/>
      <w:lvlText w:val="%1."/>
      <w:lvlJc w:val="left"/>
      <w:pPr>
        <w:tabs>
          <w:tab w:val="num" w:pos="360"/>
        </w:tabs>
        <w:ind w:left="360" w:hanging="360"/>
      </w:pPr>
      <w:rPr>
        <w:rFonts w:ascii="Tahoma" w:hAnsi="Tahoma" w:cs="Tahoma" w:hint="default"/>
        <w:b/>
        <w:sz w:val="24"/>
        <w:szCs w:val="24"/>
      </w:rPr>
    </w:lvl>
    <w:lvl w:ilvl="1" w:tplc="23EEA8BE">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6C62375D"/>
    <w:multiLevelType w:val="hybridMultilevel"/>
    <w:tmpl w:val="4B2AFFFA"/>
    <w:lvl w:ilvl="0" w:tplc="BB82DCC2">
      <w:start w:val="1"/>
      <w:numFmt w:val="decimal"/>
      <w:lvlText w:val="%1."/>
      <w:lvlJc w:val="left"/>
      <w:pPr>
        <w:ind w:left="502" w:hanging="360"/>
      </w:pPr>
      <w:rPr>
        <w:rFonts w:hint="default"/>
        <w:b/>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7">
    <w:nsid w:val="776C2DBD"/>
    <w:multiLevelType w:val="hybridMultilevel"/>
    <w:tmpl w:val="BD3C2554"/>
    <w:lvl w:ilvl="0" w:tplc="67A6AEA4">
      <w:start w:val="1"/>
      <w:numFmt w:val="decimal"/>
      <w:lvlText w:val="%1."/>
      <w:lvlJc w:val="left"/>
      <w:pPr>
        <w:ind w:left="720" w:hanging="360"/>
      </w:pPr>
      <w:rPr>
        <w:rFonts w:hint="default"/>
        <w:b/>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3"/>
  </w:num>
  <w:num w:numId="5">
    <w:abstractNumId w:val="7"/>
  </w:num>
  <w:num w:numId="6">
    <w:abstractNumId w:val="6"/>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303435"/>
    <w:rsid w:val="00001FC4"/>
    <w:rsid w:val="00163715"/>
    <w:rsid w:val="00196655"/>
    <w:rsid w:val="00303435"/>
    <w:rsid w:val="00374302"/>
    <w:rsid w:val="00472DC1"/>
    <w:rsid w:val="00486CDB"/>
    <w:rsid w:val="00496AD0"/>
    <w:rsid w:val="005447E7"/>
    <w:rsid w:val="00570A88"/>
    <w:rsid w:val="006C1DEC"/>
    <w:rsid w:val="008B1975"/>
    <w:rsid w:val="00AB7E1B"/>
    <w:rsid w:val="00E92D37"/>
    <w:rsid w:val="00F4450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435"/>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303435"/>
    <w:pPr>
      <w:spacing w:after="120"/>
    </w:pPr>
    <w:rPr>
      <w:sz w:val="16"/>
      <w:szCs w:val="16"/>
      <w:lang w:val="es-PE"/>
    </w:rPr>
  </w:style>
  <w:style w:type="character" w:customStyle="1" w:styleId="Textoindependiente3Car">
    <w:name w:val="Texto independiente 3 Car"/>
    <w:basedOn w:val="Fuentedeprrafopredeter"/>
    <w:link w:val="Textoindependiente3"/>
    <w:rsid w:val="00303435"/>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303435"/>
    <w:pPr>
      <w:jc w:val="both"/>
    </w:pPr>
    <w:rPr>
      <w:rFonts w:ascii="Tahoma" w:hAnsi="Tahoma"/>
      <w:sz w:val="22"/>
      <w:szCs w:val="20"/>
    </w:rPr>
  </w:style>
  <w:style w:type="paragraph" w:styleId="Prrafodelista">
    <w:name w:val="List Paragraph"/>
    <w:basedOn w:val="Normal"/>
    <w:uiPriority w:val="34"/>
    <w:qFormat/>
    <w:rsid w:val="00303435"/>
    <w:pPr>
      <w:widowControl w:val="0"/>
      <w:suppressAutoHyphens/>
      <w:ind w:left="708"/>
    </w:pPr>
    <w:rPr>
      <w:szCs w:val="20"/>
      <w:lang w:val="es-ES_tradnl"/>
    </w:rPr>
  </w:style>
  <w:style w:type="paragraph" w:styleId="Piedepgina">
    <w:name w:val="footer"/>
    <w:basedOn w:val="Normal"/>
    <w:link w:val="PiedepginaCar"/>
    <w:uiPriority w:val="99"/>
    <w:unhideWhenUsed/>
    <w:rsid w:val="00303435"/>
    <w:pPr>
      <w:tabs>
        <w:tab w:val="center" w:pos="4252"/>
        <w:tab w:val="right" w:pos="8504"/>
      </w:tabs>
    </w:pPr>
  </w:style>
  <w:style w:type="character" w:customStyle="1" w:styleId="PiedepginaCar">
    <w:name w:val="Pie de página Car"/>
    <w:basedOn w:val="Fuentedeprrafopredeter"/>
    <w:link w:val="Piedepgina"/>
    <w:uiPriority w:val="99"/>
    <w:rsid w:val="00303435"/>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2 Car Car Car Car Car, Car2 Car, Car2, Car1 Car,Car1 Car, Car2 Car1 Car, Car Car Car, Car1,Car Car Car Car Car"/>
    <w:basedOn w:val="Normal"/>
    <w:link w:val="TextonotapieCar"/>
    <w:rsid w:val="00303435"/>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2 Car Car Car Car Car Car, Car2 Car Car, Car2 Car1, Car1 Car Car,Car1 Car Car"/>
    <w:basedOn w:val="Fuentedeprrafopredeter"/>
    <w:link w:val="Textonotapie"/>
    <w:rsid w:val="00303435"/>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303435"/>
    <w:rPr>
      <w:rFonts w:cs="Times New Roman"/>
      <w:vertAlign w:val="superscript"/>
    </w:rPr>
  </w:style>
  <w:style w:type="table" w:styleId="Tablaconcuadrcula">
    <w:name w:val="Table Grid"/>
    <w:basedOn w:val="Tablanormal"/>
    <w:uiPriority w:val="59"/>
    <w:rsid w:val="003034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independiente">
    <w:name w:val="Body Text"/>
    <w:basedOn w:val="Normal"/>
    <w:link w:val="TextoindependienteCar"/>
    <w:uiPriority w:val="99"/>
    <w:unhideWhenUsed/>
    <w:rsid w:val="00303435"/>
    <w:pPr>
      <w:spacing w:after="120"/>
    </w:pPr>
  </w:style>
  <w:style w:type="character" w:customStyle="1" w:styleId="TextoindependienteCar">
    <w:name w:val="Texto independiente Car"/>
    <w:basedOn w:val="Fuentedeprrafopredeter"/>
    <w:link w:val="Textoindependiente"/>
    <w:uiPriority w:val="99"/>
    <w:rsid w:val="00303435"/>
    <w:rPr>
      <w:rFonts w:ascii="Times New Roman" w:eastAsia="Times New Roman" w:hAnsi="Times New Roman" w:cs="Times New Roman"/>
      <w:sz w:val="24"/>
      <w:szCs w:val="24"/>
      <w:lang w:eastAsia="es-ES"/>
    </w:rPr>
  </w:style>
  <w:style w:type="paragraph" w:styleId="Lista3">
    <w:name w:val="List 3"/>
    <w:basedOn w:val="Normal"/>
    <w:uiPriority w:val="99"/>
    <w:unhideWhenUsed/>
    <w:rsid w:val="00303435"/>
    <w:pPr>
      <w:spacing w:after="200" w:line="276" w:lineRule="auto"/>
      <w:ind w:left="849" w:hanging="283"/>
      <w:contextualSpacing/>
    </w:pPr>
    <w:rPr>
      <w:rFonts w:ascii="Calibri" w:eastAsia="Calibri" w:hAnsi="Calibri"/>
      <w:sz w:val="22"/>
      <w:szCs w:val="22"/>
      <w:lang w:eastAsia="en-US"/>
    </w:rPr>
  </w:style>
  <w:style w:type="paragraph" w:styleId="Encabezado">
    <w:name w:val="header"/>
    <w:aliases w:val="maria,h"/>
    <w:basedOn w:val="Normal"/>
    <w:link w:val="EncabezadoCar"/>
    <w:uiPriority w:val="99"/>
    <w:semiHidden/>
    <w:unhideWhenUsed/>
    <w:rsid w:val="008B1975"/>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8B1975"/>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207087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10</Pages>
  <Words>3590</Words>
  <Characters>19751</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5</cp:revision>
  <dcterms:created xsi:type="dcterms:W3CDTF">2011-06-13T16:11:00Z</dcterms:created>
  <dcterms:modified xsi:type="dcterms:W3CDTF">2011-07-11T14:40:00Z</dcterms:modified>
</cp:coreProperties>
</file>